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7963" w14:textId="761E27C8" w:rsidR="00955689" w:rsidRPr="00473CD9" w:rsidRDefault="00B15595" w:rsidP="001C18FE">
      <w:pPr>
        <w:jc w:val="center"/>
        <w:rPr>
          <w:b/>
          <w:szCs w:val="22"/>
        </w:rPr>
      </w:pPr>
      <w:r w:rsidRPr="00473CD9">
        <w:rPr>
          <w:b/>
          <w:szCs w:val="22"/>
        </w:rPr>
        <w:t xml:space="preserve">Biomaterials for Drug Delivery </w:t>
      </w:r>
    </w:p>
    <w:p w14:paraId="11D2BD02" w14:textId="190D1FDE" w:rsidR="00955689" w:rsidRPr="00473CD9" w:rsidRDefault="00B15595" w:rsidP="001C18FE">
      <w:pPr>
        <w:jc w:val="center"/>
        <w:rPr>
          <w:szCs w:val="22"/>
        </w:rPr>
      </w:pPr>
      <w:r w:rsidRPr="00473CD9">
        <w:rPr>
          <w:szCs w:val="22"/>
        </w:rPr>
        <w:t>BME 4</w:t>
      </w:r>
      <w:r w:rsidR="00D93483" w:rsidRPr="00473CD9">
        <w:rPr>
          <w:szCs w:val="22"/>
        </w:rPr>
        <w:t>648</w:t>
      </w:r>
      <w:r w:rsidRPr="00473CD9">
        <w:rPr>
          <w:szCs w:val="22"/>
        </w:rPr>
        <w:t xml:space="preserve"> </w:t>
      </w:r>
      <w:r w:rsidR="00D93483" w:rsidRPr="00473CD9">
        <w:rPr>
          <w:szCs w:val="22"/>
        </w:rPr>
        <w:t>Section3A2</w:t>
      </w:r>
      <w:r w:rsidR="00C252CA" w:rsidRPr="00473CD9">
        <w:rPr>
          <w:szCs w:val="22"/>
        </w:rPr>
        <w:t>2</w:t>
      </w:r>
    </w:p>
    <w:p w14:paraId="5CA9BABC" w14:textId="6F7E0E8B" w:rsidR="00955689" w:rsidRPr="00473CD9" w:rsidRDefault="00955689" w:rsidP="001C18FE">
      <w:pPr>
        <w:jc w:val="center"/>
        <w:rPr>
          <w:szCs w:val="22"/>
        </w:rPr>
      </w:pPr>
      <w:r w:rsidRPr="00473CD9">
        <w:rPr>
          <w:b/>
          <w:i/>
          <w:szCs w:val="22"/>
        </w:rPr>
        <w:t>Class Periods:</w:t>
      </w:r>
      <w:r w:rsidR="00B15595" w:rsidRPr="00473CD9">
        <w:rPr>
          <w:szCs w:val="22"/>
        </w:rPr>
        <w:t xml:space="preserve">  </w:t>
      </w:r>
      <w:r w:rsidR="002A1C5C" w:rsidRPr="00473CD9">
        <w:rPr>
          <w:szCs w:val="22"/>
        </w:rPr>
        <w:t xml:space="preserve">T, </w:t>
      </w:r>
      <w:r w:rsidR="00B15595" w:rsidRPr="00473CD9">
        <w:rPr>
          <w:szCs w:val="22"/>
        </w:rPr>
        <w:t>P</w:t>
      </w:r>
      <w:r w:rsidR="004547C4" w:rsidRPr="00473CD9">
        <w:rPr>
          <w:szCs w:val="22"/>
        </w:rPr>
        <w:t>eriod</w:t>
      </w:r>
      <w:r w:rsidR="002A1C5C" w:rsidRPr="00473CD9">
        <w:rPr>
          <w:szCs w:val="22"/>
        </w:rPr>
        <w:t xml:space="preserve"> 7</w:t>
      </w:r>
      <w:r w:rsidR="00B03B37" w:rsidRPr="00473CD9">
        <w:rPr>
          <w:szCs w:val="22"/>
        </w:rPr>
        <w:t xml:space="preserve"> (1:55-2:45pm)</w:t>
      </w:r>
      <w:r w:rsidR="00D82A52" w:rsidRPr="00473CD9">
        <w:rPr>
          <w:szCs w:val="22"/>
        </w:rPr>
        <w:t xml:space="preserve"> </w:t>
      </w:r>
      <w:r w:rsidR="002A1C5C" w:rsidRPr="00473CD9">
        <w:rPr>
          <w:szCs w:val="22"/>
        </w:rPr>
        <w:t>and</w:t>
      </w:r>
      <w:r w:rsidR="00B15595" w:rsidRPr="00473CD9">
        <w:rPr>
          <w:szCs w:val="22"/>
        </w:rPr>
        <w:t xml:space="preserve"> </w:t>
      </w:r>
      <w:r w:rsidR="002A1C5C" w:rsidRPr="00473CD9">
        <w:rPr>
          <w:szCs w:val="22"/>
        </w:rPr>
        <w:t>R</w:t>
      </w:r>
      <w:r w:rsidR="00B03B37" w:rsidRPr="00473CD9">
        <w:rPr>
          <w:szCs w:val="22"/>
        </w:rPr>
        <w:t>,</w:t>
      </w:r>
      <w:r w:rsidR="002A1C5C" w:rsidRPr="00473CD9">
        <w:rPr>
          <w:szCs w:val="22"/>
        </w:rPr>
        <w:t xml:space="preserve"> Period </w:t>
      </w:r>
      <w:r w:rsidR="00606E74" w:rsidRPr="00473CD9">
        <w:rPr>
          <w:szCs w:val="22"/>
        </w:rPr>
        <w:t>7</w:t>
      </w:r>
      <w:r w:rsidR="002A1C5C" w:rsidRPr="00473CD9">
        <w:rPr>
          <w:szCs w:val="22"/>
        </w:rPr>
        <w:t>-</w:t>
      </w:r>
      <w:r w:rsidR="00606E74" w:rsidRPr="00473CD9">
        <w:rPr>
          <w:szCs w:val="22"/>
        </w:rPr>
        <w:t>8</w:t>
      </w:r>
      <w:r w:rsidR="00B03B37" w:rsidRPr="00473CD9">
        <w:rPr>
          <w:szCs w:val="22"/>
        </w:rPr>
        <w:t xml:space="preserve"> (</w:t>
      </w:r>
      <w:r w:rsidR="00606E74" w:rsidRPr="00473CD9">
        <w:rPr>
          <w:szCs w:val="22"/>
        </w:rPr>
        <w:t>1:</w:t>
      </w:r>
      <w:r w:rsidR="00D82A52" w:rsidRPr="00473CD9">
        <w:rPr>
          <w:szCs w:val="22"/>
        </w:rPr>
        <w:t>55</w:t>
      </w:r>
      <w:r w:rsidR="00B03B37" w:rsidRPr="00473CD9">
        <w:rPr>
          <w:szCs w:val="22"/>
        </w:rPr>
        <w:t>-</w:t>
      </w:r>
      <w:r w:rsidR="00D82A52" w:rsidRPr="00473CD9">
        <w:rPr>
          <w:szCs w:val="22"/>
        </w:rPr>
        <w:t>3</w:t>
      </w:r>
      <w:r w:rsidR="00B03B37" w:rsidRPr="00473CD9">
        <w:rPr>
          <w:szCs w:val="22"/>
        </w:rPr>
        <w:t>:</w:t>
      </w:r>
      <w:r w:rsidR="00D82A52" w:rsidRPr="00473CD9">
        <w:rPr>
          <w:szCs w:val="22"/>
        </w:rPr>
        <w:t>50</w:t>
      </w:r>
      <w:r w:rsidR="00B03B37" w:rsidRPr="00473CD9">
        <w:rPr>
          <w:szCs w:val="22"/>
        </w:rPr>
        <w:t>pm),</w:t>
      </w:r>
    </w:p>
    <w:p w14:paraId="766DA34C" w14:textId="1D969EAF" w:rsidR="00955689" w:rsidRPr="00B03B37" w:rsidRDefault="00955689" w:rsidP="001C18FE">
      <w:pPr>
        <w:jc w:val="center"/>
        <w:rPr>
          <w:szCs w:val="22"/>
        </w:rPr>
      </w:pPr>
      <w:r w:rsidRPr="00473CD9">
        <w:rPr>
          <w:b/>
          <w:i/>
          <w:szCs w:val="22"/>
        </w:rPr>
        <w:t>Location:</w:t>
      </w:r>
      <w:r w:rsidR="00B03B37" w:rsidRPr="00473CD9">
        <w:rPr>
          <w:szCs w:val="22"/>
        </w:rPr>
        <w:t xml:space="preserve"> </w:t>
      </w:r>
      <w:r w:rsidR="00473CD9">
        <w:rPr>
          <w:szCs w:val="22"/>
        </w:rPr>
        <w:t>TBD</w:t>
      </w:r>
    </w:p>
    <w:p w14:paraId="671E951D" w14:textId="3397E2BA" w:rsidR="00955689" w:rsidRPr="00B03B37" w:rsidRDefault="00955689" w:rsidP="001C18FE">
      <w:pPr>
        <w:jc w:val="center"/>
        <w:rPr>
          <w:szCs w:val="22"/>
        </w:rPr>
      </w:pPr>
      <w:r w:rsidRPr="00B03B37">
        <w:rPr>
          <w:b/>
          <w:i/>
          <w:szCs w:val="22"/>
        </w:rPr>
        <w:t>Academic Term:</w:t>
      </w:r>
      <w:r w:rsidR="00B03B37">
        <w:rPr>
          <w:szCs w:val="22"/>
        </w:rPr>
        <w:t xml:space="preserve">  </w:t>
      </w:r>
      <w:r w:rsidR="00B15595" w:rsidRPr="00B03B37">
        <w:rPr>
          <w:szCs w:val="22"/>
        </w:rPr>
        <w:t>Spring 20</w:t>
      </w:r>
      <w:r w:rsidR="00F30C67">
        <w:rPr>
          <w:szCs w:val="22"/>
        </w:rPr>
        <w:t>2</w:t>
      </w:r>
      <w:r w:rsidR="003C673D">
        <w:rPr>
          <w:szCs w:val="22"/>
        </w:rPr>
        <w:t>2</w:t>
      </w:r>
    </w:p>
    <w:p w14:paraId="1B4B7924" w14:textId="77777777" w:rsidR="00955689" w:rsidRPr="00B03B37" w:rsidRDefault="00955689">
      <w:pPr>
        <w:rPr>
          <w:szCs w:val="22"/>
          <w:u w:val="single"/>
        </w:rPr>
      </w:pPr>
    </w:p>
    <w:p w14:paraId="39731A5E" w14:textId="77777777" w:rsidR="00955689" w:rsidRPr="00B03B37" w:rsidRDefault="00955689">
      <w:pPr>
        <w:rPr>
          <w:b/>
          <w:i/>
          <w:szCs w:val="22"/>
        </w:rPr>
      </w:pPr>
      <w:r w:rsidRPr="00B03B37">
        <w:rPr>
          <w:b/>
          <w:i/>
          <w:szCs w:val="22"/>
        </w:rPr>
        <w:t>Instructor:</w:t>
      </w:r>
    </w:p>
    <w:p w14:paraId="0FC75C25" w14:textId="7398C619" w:rsidR="00955689" w:rsidRPr="00B03B37" w:rsidRDefault="00B15595">
      <w:pPr>
        <w:rPr>
          <w:szCs w:val="22"/>
        </w:rPr>
      </w:pPr>
      <w:r w:rsidRPr="00B03B37">
        <w:rPr>
          <w:szCs w:val="22"/>
        </w:rPr>
        <w:t>Blanka Sharma</w:t>
      </w:r>
    </w:p>
    <w:p w14:paraId="6E26C2AB" w14:textId="132A533A" w:rsidR="00955689" w:rsidRPr="00B03B37" w:rsidRDefault="00B15595">
      <w:pPr>
        <w:rPr>
          <w:szCs w:val="22"/>
          <w:u w:val="single"/>
        </w:rPr>
      </w:pPr>
      <w:r w:rsidRPr="00B03B37">
        <w:rPr>
          <w:szCs w:val="22"/>
          <w:u w:val="single"/>
        </w:rPr>
        <w:t>blanka.sharma@bme.ufl.edu</w:t>
      </w:r>
    </w:p>
    <w:p w14:paraId="6007020C" w14:textId="55B1BD82" w:rsidR="00955689" w:rsidRPr="00B03B37" w:rsidRDefault="00B15595">
      <w:pPr>
        <w:rPr>
          <w:szCs w:val="22"/>
        </w:rPr>
      </w:pPr>
      <w:r w:rsidRPr="00B03B37">
        <w:rPr>
          <w:szCs w:val="22"/>
        </w:rPr>
        <w:t>352-273-9329</w:t>
      </w:r>
    </w:p>
    <w:p w14:paraId="07E65DCE" w14:textId="02196143" w:rsidR="00955689" w:rsidRPr="00B03B37" w:rsidRDefault="00B15595">
      <w:pPr>
        <w:rPr>
          <w:szCs w:val="22"/>
        </w:rPr>
      </w:pPr>
      <w:r w:rsidRPr="00B03B37">
        <w:rPr>
          <w:szCs w:val="22"/>
        </w:rPr>
        <w:t xml:space="preserve">Office Hours:  </w:t>
      </w:r>
      <w:r w:rsidR="00BA2433">
        <w:rPr>
          <w:szCs w:val="22"/>
        </w:rPr>
        <w:t>Tuesday 2:45</w:t>
      </w:r>
      <w:r w:rsidR="00C21ACF">
        <w:rPr>
          <w:szCs w:val="22"/>
        </w:rPr>
        <w:t>-4:00</w:t>
      </w:r>
      <w:r w:rsidR="00BA2433">
        <w:rPr>
          <w:szCs w:val="22"/>
        </w:rPr>
        <w:t>pm</w:t>
      </w:r>
      <w:r w:rsidR="00C21ACF">
        <w:rPr>
          <w:szCs w:val="22"/>
        </w:rPr>
        <w:t xml:space="preserve"> (tentative)</w:t>
      </w:r>
    </w:p>
    <w:p w14:paraId="2BA95A57" w14:textId="77777777" w:rsidR="00955689" w:rsidRPr="00B03B37" w:rsidRDefault="00955689">
      <w:pPr>
        <w:rPr>
          <w:szCs w:val="22"/>
        </w:rPr>
      </w:pPr>
    </w:p>
    <w:p w14:paraId="1AFB7F6B" w14:textId="77777777" w:rsidR="00955689" w:rsidRPr="00B03B37" w:rsidRDefault="00955689">
      <w:pPr>
        <w:rPr>
          <w:b/>
          <w:i/>
          <w:szCs w:val="22"/>
        </w:rPr>
      </w:pPr>
      <w:r w:rsidRPr="00B03B37">
        <w:rPr>
          <w:b/>
          <w:i/>
          <w:szCs w:val="22"/>
        </w:rPr>
        <w:t>Teaching Assistants:</w:t>
      </w:r>
    </w:p>
    <w:p w14:paraId="5B62D848" w14:textId="38D623A2" w:rsidR="00955689" w:rsidRPr="00B03B37" w:rsidRDefault="00B15595" w:rsidP="00955689">
      <w:pPr>
        <w:rPr>
          <w:szCs w:val="22"/>
        </w:rPr>
      </w:pPr>
      <w:r w:rsidRPr="00B03B37">
        <w:rPr>
          <w:szCs w:val="22"/>
        </w:rPr>
        <w:t xml:space="preserve">None </w:t>
      </w:r>
    </w:p>
    <w:p w14:paraId="41C4E01A" w14:textId="77777777" w:rsidR="00B15595" w:rsidRPr="00B03B37" w:rsidRDefault="00B15595" w:rsidP="00955689">
      <w:pPr>
        <w:rPr>
          <w:szCs w:val="22"/>
          <w:u w:val="single"/>
        </w:rPr>
      </w:pPr>
    </w:p>
    <w:p w14:paraId="7A10310C" w14:textId="77777777" w:rsidR="004547C4" w:rsidRPr="00B03B37" w:rsidRDefault="004547C4" w:rsidP="00955689">
      <w:pPr>
        <w:rPr>
          <w:b/>
          <w:i/>
          <w:szCs w:val="22"/>
        </w:rPr>
      </w:pPr>
      <w:r w:rsidRPr="00B03B37">
        <w:rPr>
          <w:b/>
          <w:i/>
          <w:szCs w:val="22"/>
        </w:rPr>
        <w:t>Course Description</w:t>
      </w:r>
    </w:p>
    <w:p w14:paraId="4B76FFD9" w14:textId="77777777" w:rsidR="00B15595" w:rsidRPr="00B03B37" w:rsidRDefault="00B15595" w:rsidP="00B15595">
      <w:pPr>
        <w:widowControl w:val="0"/>
        <w:autoSpaceDE w:val="0"/>
        <w:autoSpaceDN w:val="0"/>
        <w:adjustRightInd w:val="0"/>
        <w:rPr>
          <w:szCs w:val="22"/>
        </w:rPr>
      </w:pPr>
      <w:r w:rsidRPr="00B03B37">
        <w:rPr>
          <w:szCs w:val="22"/>
        </w:rPr>
        <w:t xml:space="preserve">This course focuses on the principles of </w:t>
      </w:r>
      <w:proofErr w:type="gramStart"/>
      <w:r w:rsidRPr="00B03B37">
        <w:rPr>
          <w:szCs w:val="22"/>
        </w:rPr>
        <w:t>engineering controlled</w:t>
      </w:r>
      <w:proofErr w:type="gramEnd"/>
      <w:r w:rsidRPr="00B03B37">
        <w:rPr>
          <w:szCs w:val="22"/>
        </w:rPr>
        <w:t xml:space="preserve"> release systems, and integrates topics in polymer</w:t>
      </w:r>
    </w:p>
    <w:p w14:paraId="7AB10670" w14:textId="2F420BCA" w:rsidR="004547C4" w:rsidRPr="00B03B37" w:rsidRDefault="00B15595" w:rsidP="00B15595">
      <w:pPr>
        <w:rPr>
          <w:szCs w:val="22"/>
        </w:rPr>
      </w:pPr>
      <w:r w:rsidRPr="00B03B37">
        <w:rPr>
          <w:szCs w:val="22"/>
        </w:rPr>
        <w:t>chemistry, biomaterials, pharmacokinetics/pharmacodynamics, and mass transport phenomena. 3 Credits.</w:t>
      </w:r>
    </w:p>
    <w:p w14:paraId="13CB03B3" w14:textId="77777777" w:rsidR="00B15595" w:rsidRPr="00B03B37" w:rsidRDefault="00B15595" w:rsidP="00B15595">
      <w:pPr>
        <w:rPr>
          <w:szCs w:val="22"/>
        </w:rPr>
      </w:pPr>
    </w:p>
    <w:p w14:paraId="7450E86D" w14:textId="77777777" w:rsidR="007539EC" w:rsidRPr="00B03B37" w:rsidRDefault="007539EC" w:rsidP="004547C4">
      <w:pPr>
        <w:rPr>
          <w:b/>
          <w:i/>
          <w:szCs w:val="22"/>
        </w:rPr>
      </w:pPr>
      <w:r w:rsidRPr="00B03B37">
        <w:rPr>
          <w:b/>
          <w:i/>
          <w:szCs w:val="22"/>
        </w:rPr>
        <w:t>Course Pre-Requisites / Co-Requisites</w:t>
      </w:r>
    </w:p>
    <w:p w14:paraId="74B8A4CE" w14:textId="356590DA" w:rsidR="007539EC" w:rsidRPr="00B03B37" w:rsidRDefault="00475531" w:rsidP="004547C4">
      <w:pPr>
        <w:rPr>
          <w:szCs w:val="22"/>
        </w:rPr>
      </w:pPr>
      <w:r>
        <w:rPr>
          <w:szCs w:val="22"/>
        </w:rPr>
        <w:t>BME3060(C), BME4632</w:t>
      </w:r>
    </w:p>
    <w:p w14:paraId="6E59B028" w14:textId="77777777" w:rsidR="00B15595" w:rsidRPr="00B03B37" w:rsidRDefault="00B15595" w:rsidP="004547C4">
      <w:pPr>
        <w:rPr>
          <w:b/>
          <w:i/>
          <w:szCs w:val="22"/>
        </w:rPr>
      </w:pPr>
    </w:p>
    <w:p w14:paraId="6A976A92" w14:textId="77777777" w:rsidR="004547C4" w:rsidRPr="00B03B37" w:rsidRDefault="004547C4" w:rsidP="004547C4">
      <w:pPr>
        <w:rPr>
          <w:b/>
          <w:i/>
          <w:szCs w:val="22"/>
        </w:rPr>
      </w:pPr>
      <w:r w:rsidRPr="00B03B37">
        <w:rPr>
          <w:b/>
          <w:i/>
          <w:szCs w:val="22"/>
        </w:rPr>
        <w:t>Course Objectives</w:t>
      </w:r>
    </w:p>
    <w:p w14:paraId="79180C04" w14:textId="77777777" w:rsidR="00B15595" w:rsidRPr="00B03B37" w:rsidRDefault="00B15595" w:rsidP="00B15595">
      <w:pPr>
        <w:widowControl w:val="0"/>
        <w:autoSpaceDE w:val="0"/>
        <w:autoSpaceDN w:val="0"/>
        <w:adjustRightInd w:val="0"/>
        <w:rPr>
          <w:szCs w:val="22"/>
        </w:rPr>
      </w:pPr>
      <w:r w:rsidRPr="00B03B37">
        <w:rPr>
          <w:szCs w:val="22"/>
        </w:rPr>
        <w:t>1. Apply engineering principles to the design of controlled release and drug delivery systems.</w:t>
      </w:r>
    </w:p>
    <w:p w14:paraId="2A91E326" w14:textId="77777777" w:rsidR="00B15595" w:rsidRPr="00B03B37" w:rsidRDefault="00B15595" w:rsidP="00B15595">
      <w:pPr>
        <w:widowControl w:val="0"/>
        <w:autoSpaceDE w:val="0"/>
        <w:autoSpaceDN w:val="0"/>
        <w:adjustRightInd w:val="0"/>
        <w:rPr>
          <w:szCs w:val="22"/>
        </w:rPr>
      </w:pPr>
      <w:r w:rsidRPr="00B03B37">
        <w:rPr>
          <w:szCs w:val="22"/>
        </w:rPr>
        <w:t>2. Understand the biomaterials used in the engineering of drug delivery systems for various applications.</w:t>
      </w:r>
    </w:p>
    <w:p w14:paraId="4DE04711" w14:textId="39C3FFA6" w:rsidR="004547C4" w:rsidRPr="00B03B37" w:rsidRDefault="00B15595" w:rsidP="00B15595">
      <w:pPr>
        <w:rPr>
          <w:szCs w:val="22"/>
        </w:rPr>
      </w:pPr>
      <w:r w:rsidRPr="00B03B37">
        <w:rPr>
          <w:szCs w:val="22"/>
        </w:rPr>
        <w:t>3. Evaluate and critique current literature on drug delivery technologies.</w:t>
      </w:r>
    </w:p>
    <w:p w14:paraId="301343D3" w14:textId="77777777" w:rsidR="001C18FE" w:rsidRPr="00B03B37" w:rsidRDefault="001C18FE" w:rsidP="004547C4">
      <w:pPr>
        <w:rPr>
          <w:szCs w:val="22"/>
        </w:rPr>
      </w:pPr>
    </w:p>
    <w:p w14:paraId="6E1DB7A9" w14:textId="77777777" w:rsidR="001C18FE" w:rsidRPr="00B03B37" w:rsidRDefault="001C18FE" w:rsidP="004547C4">
      <w:pPr>
        <w:rPr>
          <w:b/>
          <w:i/>
          <w:szCs w:val="22"/>
        </w:rPr>
      </w:pPr>
      <w:r w:rsidRPr="00B03B37">
        <w:rPr>
          <w:b/>
          <w:i/>
          <w:szCs w:val="22"/>
        </w:rPr>
        <w:t>Materials and Supply Fees</w:t>
      </w:r>
    </w:p>
    <w:p w14:paraId="051BCF93" w14:textId="3C6933A5" w:rsidR="001C18FE" w:rsidRPr="00B03B37" w:rsidRDefault="00B15595" w:rsidP="004547C4">
      <w:pPr>
        <w:rPr>
          <w:szCs w:val="22"/>
        </w:rPr>
      </w:pPr>
      <w:r w:rsidRPr="00B03B37">
        <w:rPr>
          <w:szCs w:val="22"/>
        </w:rPr>
        <w:t>None</w:t>
      </w:r>
    </w:p>
    <w:p w14:paraId="16F6F393" w14:textId="77777777" w:rsidR="001C18FE" w:rsidRPr="00B03B37" w:rsidRDefault="001C18FE" w:rsidP="004547C4">
      <w:pPr>
        <w:rPr>
          <w:szCs w:val="22"/>
        </w:rPr>
      </w:pPr>
    </w:p>
    <w:p w14:paraId="1AEB1895" w14:textId="77777777" w:rsidR="00F433D1" w:rsidRPr="00B03B37" w:rsidRDefault="00F433D1">
      <w:pPr>
        <w:rPr>
          <w:b/>
          <w:i/>
          <w:szCs w:val="22"/>
        </w:rPr>
      </w:pPr>
      <w:r w:rsidRPr="00B03B37">
        <w:rPr>
          <w:b/>
          <w:i/>
          <w:szCs w:val="22"/>
        </w:rPr>
        <w:t>Professional Component (ABET):</w:t>
      </w:r>
    </w:p>
    <w:p w14:paraId="481ADF39" w14:textId="0728B4E9" w:rsidR="00F433D1" w:rsidRPr="00B03B37" w:rsidRDefault="00B15595">
      <w:pPr>
        <w:rPr>
          <w:szCs w:val="22"/>
        </w:rPr>
      </w:pPr>
      <w:r w:rsidRPr="00B03B37">
        <w:rPr>
          <w:szCs w:val="22"/>
        </w:rPr>
        <w:t>N/A</w:t>
      </w:r>
    </w:p>
    <w:p w14:paraId="49F27868" w14:textId="77777777" w:rsidR="00F433D1" w:rsidRPr="00B03B37" w:rsidRDefault="00F433D1">
      <w:pPr>
        <w:rPr>
          <w:szCs w:val="22"/>
        </w:rPr>
      </w:pPr>
    </w:p>
    <w:p w14:paraId="44F14732" w14:textId="30112E2D" w:rsidR="00F433D1" w:rsidRPr="00B03B37" w:rsidRDefault="00F433D1">
      <w:pPr>
        <w:rPr>
          <w:b/>
          <w:i/>
          <w:szCs w:val="22"/>
        </w:rPr>
      </w:pPr>
      <w:r w:rsidRPr="00B03B37">
        <w:rPr>
          <w:b/>
          <w:i/>
          <w:szCs w:val="22"/>
        </w:rPr>
        <w:t>Relation to Program Outcomes (ABET):</w:t>
      </w:r>
    </w:p>
    <w:p w14:paraId="1E25438D" w14:textId="7633873B" w:rsidR="00D2542F" w:rsidRPr="00B03B37" w:rsidRDefault="00D2542F">
      <w:pPr>
        <w:rPr>
          <w:b/>
          <w:i/>
          <w:szCs w:val="22"/>
        </w:rPr>
      </w:pPr>
    </w:p>
    <w:tbl>
      <w:tblPr>
        <w:tblStyle w:val="TableGrid"/>
        <w:tblW w:w="0" w:type="auto"/>
        <w:jc w:val="center"/>
        <w:tblLook w:val="04A0" w:firstRow="1" w:lastRow="0" w:firstColumn="1" w:lastColumn="0" w:noHBand="0" w:noVBand="1"/>
      </w:tblPr>
      <w:tblGrid>
        <w:gridCol w:w="7560"/>
        <w:gridCol w:w="1800"/>
      </w:tblGrid>
      <w:tr w:rsidR="00145F2B" w:rsidRPr="00B03B37" w14:paraId="4266437F" w14:textId="54D9D81F" w:rsidTr="00145F2B">
        <w:trPr>
          <w:jc w:val="center"/>
        </w:trPr>
        <w:tc>
          <w:tcPr>
            <w:tcW w:w="7560" w:type="dxa"/>
            <w:shd w:val="clear" w:color="auto" w:fill="BDD6EE" w:themeFill="accent1" w:themeFillTint="66"/>
          </w:tcPr>
          <w:p w14:paraId="77451F1B" w14:textId="77777777" w:rsidR="00145F2B" w:rsidRPr="00B03B37" w:rsidRDefault="00145F2B">
            <w:pPr>
              <w:rPr>
                <w:b/>
                <w:szCs w:val="22"/>
              </w:rPr>
            </w:pPr>
            <w:r w:rsidRPr="00B03B37">
              <w:rPr>
                <w:b/>
                <w:szCs w:val="22"/>
              </w:rPr>
              <w:t>Outcome</w:t>
            </w:r>
          </w:p>
        </w:tc>
        <w:tc>
          <w:tcPr>
            <w:tcW w:w="1800" w:type="dxa"/>
            <w:shd w:val="clear" w:color="auto" w:fill="BDD6EE" w:themeFill="accent1" w:themeFillTint="66"/>
          </w:tcPr>
          <w:p w14:paraId="31C735C3" w14:textId="77777777" w:rsidR="00145F2B" w:rsidRPr="00B03B37" w:rsidRDefault="00145F2B">
            <w:pPr>
              <w:rPr>
                <w:b/>
                <w:szCs w:val="22"/>
                <w:vertAlign w:val="superscript"/>
              </w:rPr>
            </w:pPr>
            <w:r w:rsidRPr="00B03B37">
              <w:rPr>
                <w:b/>
                <w:szCs w:val="22"/>
              </w:rPr>
              <w:t>Coverage</w:t>
            </w:r>
            <w:r w:rsidRPr="00B03B37">
              <w:rPr>
                <w:b/>
                <w:szCs w:val="22"/>
                <w:vertAlign w:val="superscript"/>
              </w:rPr>
              <w:t>*</w:t>
            </w:r>
          </w:p>
        </w:tc>
      </w:tr>
      <w:tr w:rsidR="00145F2B" w:rsidRPr="00B03B37" w14:paraId="6B932233" w14:textId="28EA4287" w:rsidTr="00145F2B">
        <w:trPr>
          <w:jc w:val="center"/>
        </w:trPr>
        <w:tc>
          <w:tcPr>
            <w:tcW w:w="7560" w:type="dxa"/>
          </w:tcPr>
          <w:p w14:paraId="683827D1" w14:textId="492FF61F" w:rsidR="00145F2B" w:rsidRPr="002724E7" w:rsidRDefault="00145F2B">
            <w:pPr>
              <w:rPr>
                <w:szCs w:val="22"/>
              </w:rPr>
            </w:pPr>
            <w:r w:rsidRPr="002724E7">
              <w:rPr>
                <w:szCs w:val="22"/>
              </w:rPr>
              <w:t>1. an ability to identify, formulate, and solve complex engineering problems by applying principles of engineering, science, and mathematics</w:t>
            </w:r>
          </w:p>
        </w:tc>
        <w:tc>
          <w:tcPr>
            <w:tcW w:w="1800" w:type="dxa"/>
          </w:tcPr>
          <w:p w14:paraId="4D5C5E1B" w14:textId="5997A094" w:rsidR="00145F2B" w:rsidRPr="00B03B37" w:rsidRDefault="00145F2B">
            <w:pPr>
              <w:rPr>
                <w:szCs w:val="22"/>
              </w:rPr>
            </w:pPr>
            <w:r>
              <w:rPr>
                <w:szCs w:val="22"/>
              </w:rPr>
              <w:t>High</w:t>
            </w:r>
          </w:p>
        </w:tc>
      </w:tr>
      <w:tr w:rsidR="00145F2B" w:rsidRPr="00B03B37" w14:paraId="13B552C0" w14:textId="2CB3A9BA" w:rsidTr="00145F2B">
        <w:trPr>
          <w:jc w:val="center"/>
        </w:trPr>
        <w:tc>
          <w:tcPr>
            <w:tcW w:w="7560" w:type="dxa"/>
          </w:tcPr>
          <w:p w14:paraId="0693EA0E" w14:textId="0BFD5B62" w:rsidR="00145F2B" w:rsidRPr="002724E7" w:rsidRDefault="00145F2B">
            <w:pPr>
              <w:rPr>
                <w:szCs w:val="22"/>
              </w:rPr>
            </w:pPr>
            <w:r w:rsidRPr="002724E7">
              <w:rPr>
                <w:szCs w:val="22"/>
              </w:rPr>
              <w:t>2. an ability to apply engineering design to produce solutions that meet specified needs with consideration of public health, safety, and welfare, as well as global, cultural, social, environmental, and economic factors</w:t>
            </w:r>
          </w:p>
        </w:tc>
        <w:tc>
          <w:tcPr>
            <w:tcW w:w="1800" w:type="dxa"/>
          </w:tcPr>
          <w:p w14:paraId="7386C15F" w14:textId="32072FAA" w:rsidR="00145F2B" w:rsidRPr="00B03B37" w:rsidRDefault="00145F2B">
            <w:pPr>
              <w:rPr>
                <w:szCs w:val="22"/>
              </w:rPr>
            </w:pPr>
          </w:p>
        </w:tc>
      </w:tr>
      <w:tr w:rsidR="00145F2B" w:rsidRPr="00B03B37" w14:paraId="1677A51A" w14:textId="5757FDA5" w:rsidTr="00145F2B">
        <w:trPr>
          <w:jc w:val="center"/>
        </w:trPr>
        <w:tc>
          <w:tcPr>
            <w:tcW w:w="7560" w:type="dxa"/>
          </w:tcPr>
          <w:p w14:paraId="2E343F55" w14:textId="4FD4D03F" w:rsidR="00145F2B" w:rsidRPr="002724E7" w:rsidRDefault="00145F2B">
            <w:pPr>
              <w:rPr>
                <w:szCs w:val="22"/>
              </w:rPr>
            </w:pPr>
            <w:r w:rsidRPr="002724E7">
              <w:rPr>
                <w:szCs w:val="22"/>
              </w:rPr>
              <w:t>3.</w:t>
            </w:r>
            <w:r w:rsidRPr="002724E7">
              <w:rPr>
                <w:rFonts w:asciiTheme="minorHAnsi" w:eastAsiaTheme="minorEastAsia" w:hAnsi="Calibri" w:cstheme="minorBidi"/>
                <w:color w:val="FFFFFF" w:themeColor="light1"/>
                <w:kern w:val="24"/>
                <w:sz w:val="34"/>
                <w:szCs w:val="34"/>
              </w:rPr>
              <w:t xml:space="preserve"> </w:t>
            </w:r>
            <w:r w:rsidRPr="002724E7">
              <w:rPr>
                <w:szCs w:val="22"/>
              </w:rPr>
              <w:t>an ability to communicate effectively with a range of audiences</w:t>
            </w:r>
          </w:p>
        </w:tc>
        <w:tc>
          <w:tcPr>
            <w:tcW w:w="1800" w:type="dxa"/>
          </w:tcPr>
          <w:p w14:paraId="256E6078" w14:textId="0CA6A4E3" w:rsidR="00145F2B" w:rsidRPr="00B03B37" w:rsidRDefault="00145F2B">
            <w:pPr>
              <w:rPr>
                <w:szCs w:val="22"/>
              </w:rPr>
            </w:pPr>
            <w:r>
              <w:rPr>
                <w:szCs w:val="22"/>
              </w:rPr>
              <w:t>Low</w:t>
            </w:r>
          </w:p>
        </w:tc>
      </w:tr>
      <w:tr w:rsidR="00145F2B" w:rsidRPr="00B03B37" w14:paraId="3BC33291" w14:textId="59620C3D" w:rsidTr="00145F2B">
        <w:trPr>
          <w:jc w:val="center"/>
        </w:trPr>
        <w:tc>
          <w:tcPr>
            <w:tcW w:w="7560" w:type="dxa"/>
          </w:tcPr>
          <w:p w14:paraId="07059131" w14:textId="4C2511DA" w:rsidR="00145F2B" w:rsidRPr="002724E7" w:rsidRDefault="00145F2B">
            <w:pPr>
              <w:rPr>
                <w:szCs w:val="22"/>
              </w:rPr>
            </w:pPr>
            <w:r w:rsidRPr="002724E7">
              <w:rPr>
                <w:szCs w:val="22"/>
              </w:rPr>
              <w:t>4.</w:t>
            </w:r>
            <w:r w:rsidRPr="002724E7">
              <w:rPr>
                <w:rFonts w:asciiTheme="minorHAnsi" w:eastAsiaTheme="minorEastAsia" w:hAnsi="Calibri" w:cstheme="minorBidi"/>
                <w:color w:val="FFFFFF" w:themeColor="light1"/>
                <w:kern w:val="24"/>
                <w:sz w:val="34"/>
                <w:szCs w:val="34"/>
              </w:rPr>
              <w:t xml:space="preserve"> </w:t>
            </w:r>
            <w:r w:rsidRPr="002724E7">
              <w:rPr>
                <w:szCs w:val="22"/>
              </w:rPr>
              <w:t>an ability to recognize ethical and professional responsibilities in engineering situations and make informed judgments, which must consider the impact of engineering solutions in global, economic, environmental, and societal contexts</w:t>
            </w:r>
          </w:p>
        </w:tc>
        <w:tc>
          <w:tcPr>
            <w:tcW w:w="1800" w:type="dxa"/>
          </w:tcPr>
          <w:p w14:paraId="7B9FC7DC" w14:textId="6B9C962F" w:rsidR="00145F2B" w:rsidRPr="00B03B37" w:rsidRDefault="00145F2B">
            <w:pPr>
              <w:rPr>
                <w:szCs w:val="22"/>
              </w:rPr>
            </w:pPr>
          </w:p>
        </w:tc>
      </w:tr>
      <w:tr w:rsidR="00145F2B" w:rsidRPr="00B03B37" w14:paraId="647A2231" w14:textId="3E165B53" w:rsidTr="00145F2B">
        <w:trPr>
          <w:jc w:val="center"/>
        </w:trPr>
        <w:tc>
          <w:tcPr>
            <w:tcW w:w="7560" w:type="dxa"/>
          </w:tcPr>
          <w:p w14:paraId="4A77B107" w14:textId="47EA76DD" w:rsidR="00145F2B" w:rsidRPr="002724E7" w:rsidRDefault="00145F2B">
            <w:pPr>
              <w:rPr>
                <w:szCs w:val="22"/>
              </w:rPr>
            </w:pPr>
            <w:r w:rsidRPr="002724E7">
              <w:rPr>
                <w:szCs w:val="22"/>
              </w:rPr>
              <w:t>5. an ability to function effectively on a team whose members together provide leadership, create a collaborative and inclusive environment, establish goals, plan tasks, and meet objectives</w:t>
            </w:r>
          </w:p>
        </w:tc>
        <w:tc>
          <w:tcPr>
            <w:tcW w:w="1800" w:type="dxa"/>
          </w:tcPr>
          <w:p w14:paraId="6CCF36E7" w14:textId="502C96AF" w:rsidR="00145F2B" w:rsidRPr="00B03B37" w:rsidRDefault="00145F2B">
            <w:pPr>
              <w:rPr>
                <w:szCs w:val="22"/>
              </w:rPr>
            </w:pPr>
            <w:r>
              <w:rPr>
                <w:szCs w:val="22"/>
              </w:rPr>
              <w:t>Low</w:t>
            </w:r>
          </w:p>
        </w:tc>
      </w:tr>
      <w:tr w:rsidR="00145F2B" w:rsidRPr="00B03B37" w14:paraId="4637A3F0" w14:textId="56ECBCDD" w:rsidTr="00145F2B">
        <w:trPr>
          <w:jc w:val="center"/>
        </w:trPr>
        <w:tc>
          <w:tcPr>
            <w:tcW w:w="7560" w:type="dxa"/>
          </w:tcPr>
          <w:p w14:paraId="3C7EAFC1" w14:textId="1323084B" w:rsidR="00145F2B" w:rsidRPr="002724E7" w:rsidRDefault="00145F2B" w:rsidP="006371D1">
            <w:pPr>
              <w:rPr>
                <w:szCs w:val="22"/>
              </w:rPr>
            </w:pPr>
            <w:r w:rsidRPr="002724E7">
              <w:rPr>
                <w:szCs w:val="22"/>
              </w:rPr>
              <w:t>6. an ability to develop and conduct appropriate experimentation, analyze and interpret data, and use engineering judgment to draw conclusions</w:t>
            </w:r>
          </w:p>
        </w:tc>
        <w:tc>
          <w:tcPr>
            <w:tcW w:w="1800" w:type="dxa"/>
          </w:tcPr>
          <w:p w14:paraId="632965EA" w14:textId="6F9607F6" w:rsidR="00145F2B" w:rsidRPr="00B03B37" w:rsidRDefault="00145F2B">
            <w:pPr>
              <w:rPr>
                <w:szCs w:val="22"/>
              </w:rPr>
            </w:pPr>
          </w:p>
        </w:tc>
      </w:tr>
      <w:tr w:rsidR="00145F2B" w:rsidRPr="00B03B37" w14:paraId="2B11A4BD" w14:textId="1834D1D1" w:rsidTr="00145F2B">
        <w:trPr>
          <w:jc w:val="center"/>
        </w:trPr>
        <w:tc>
          <w:tcPr>
            <w:tcW w:w="7560" w:type="dxa"/>
          </w:tcPr>
          <w:p w14:paraId="5F991789" w14:textId="0A50663F" w:rsidR="00145F2B" w:rsidRPr="002724E7" w:rsidRDefault="00145F2B">
            <w:pPr>
              <w:rPr>
                <w:szCs w:val="22"/>
              </w:rPr>
            </w:pPr>
            <w:r w:rsidRPr="002724E7">
              <w:rPr>
                <w:szCs w:val="22"/>
              </w:rPr>
              <w:t>7. an ability to acquire and apply new knowledge as needed, using appropriate learning strategies</w:t>
            </w:r>
          </w:p>
        </w:tc>
        <w:tc>
          <w:tcPr>
            <w:tcW w:w="1800" w:type="dxa"/>
          </w:tcPr>
          <w:p w14:paraId="0F28CB73" w14:textId="4D44CFBD" w:rsidR="00145F2B" w:rsidRPr="00B03B37" w:rsidRDefault="00145F2B">
            <w:pPr>
              <w:rPr>
                <w:szCs w:val="22"/>
              </w:rPr>
            </w:pPr>
            <w:r>
              <w:rPr>
                <w:szCs w:val="22"/>
              </w:rPr>
              <w:t>Low</w:t>
            </w:r>
          </w:p>
        </w:tc>
      </w:tr>
    </w:tbl>
    <w:p w14:paraId="1F0E561B" w14:textId="77777777" w:rsidR="00606E74" w:rsidRDefault="00F433D1" w:rsidP="00606E74">
      <w:pPr>
        <w:ind w:left="360"/>
        <w:rPr>
          <w:b/>
          <w:i/>
          <w:szCs w:val="22"/>
        </w:rPr>
      </w:pPr>
      <w:r w:rsidRPr="00B03B37">
        <w:rPr>
          <w:szCs w:val="22"/>
          <w:vertAlign w:val="superscript"/>
        </w:rPr>
        <w:lastRenderedPageBreak/>
        <w:t>*</w:t>
      </w:r>
      <w:r w:rsidRPr="00B03B37">
        <w:rPr>
          <w:szCs w:val="22"/>
        </w:rPr>
        <w:t>Coverage is given as high, medium, or low.  An empty box indicates that this outcome is not part of the course</w:t>
      </w:r>
    </w:p>
    <w:p w14:paraId="0E5EC08E" w14:textId="77777777" w:rsidR="00606E74" w:rsidRDefault="00606E74" w:rsidP="00606E74">
      <w:pPr>
        <w:ind w:left="360"/>
        <w:rPr>
          <w:b/>
          <w:i/>
          <w:szCs w:val="22"/>
        </w:rPr>
      </w:pPr>
    </w:p>
    <w:p w14:paraId="76E878E3" w14:textId="26B52525" w:rsidR="00B15595" w:rsidRPr="00606E74" w:rsidRDefault="001C18FE" w:rsidP="00606E74">
      <w:pPr>
        <w:rPr>
          <w:szCs w:val="22"/>
        </w:rPr>
      </w:pPr>
      <w:r w:rsidRPr="00B03B37">
        <w:rPr>
          <w:b/>
          <w:i/>
          <w:szCs w:val="22"/>
        </w:rPr>
        <w:t xml:space="preserve">Required Textbooks and Software </w:t>
      </w:r>
    </w:p>
    <w:p w14:paraId="13606835"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Title: Drug Delivery: Fundamentals and Applications, Second Edition </w:t>
      </w:r>
    </w:p>
    <w:p w14:paraId="748A85E7"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Second Edition </w:t>
      </w:r>
    </w:p>
    <w:p w14:paraId="013FE828"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Authors: Anya M. </w:t>
      </w:r>
      <w:proofErr w:type="spellStart"/>
      <w:r w:rsidRPr="00606E74">
        <w:rPr>
          <w:rFonts w:cs="Calibri"/>
          <w:color w:val="000000"/>
          <w:szCs w:val="22"/>
          <w:shd w:val="clear" w:color="auto" w:fill="FFFFFF"/>
        </w:rPr>
        <w:t>Hillery</w:t>
      </w:r>
      <w:proofErr w:type="spellEnd"/>
      <w:r w:rsidRPr="00606E74">
        <w:rPr>
          <w:rFonts w:cs="Calibri"/>
          <w:color w:val="000000"/>
          <w:szCs w:val="22"/>
          <w:shd w:val="clear" w:color="auto" w:fill="FFFFFF"/>
        </w:rPr>
        <w:t xml:space="preserve">, </w:t>
      </w:r>
      <w:proofErr w:type="spellStart"/>
      <w:r w:rsidRPr="00606E74">
        <w:rPr>
          <w:rFonts w:cs="Calibri"/>
          <w:color w:val="000000"/>
          <w:szCs w:val="22"/>
          <w:shd w:val="clear" w:color="auto" w:fill="FFFFFF"/>
        </w:rPr>
        <w:t>Kinam</w:t>
      </w:r>
      <w:proofErr w:type="spellEnd"/>
      <w:r w:rsidRPr="00606E74">
        <w:rPr>
          <w:rFonts w:cs="Calibri"/>
          <w:color w:val="000000"/>
          <w:szCs w:val="22"/>
          <w:shd w:val="clear" w:color="auto" w:fill="FFFFFF"/>
        </w:rPr>
        <w:t xml:space="preserve"> Part</w:t>
      </w:r>
    </w:p>
    <w:p w14:paraId="0BB9F61D"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Publisher: CRC Press, Taylor and Francis</w:t>
      </w:r>
    </w:p>
    <w:p w14:paraId="7823771F"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ISBN: </w:t>
      </w:r>
      <w:r w:rsidRPr="00606E74">
        <w:rPr>
          <w:rFonts w:cs="Calibri"/>
          <w:color w:val="333333"/>
          <w:szCs w:val="22"/>
          <w:shd w:val="clear" w:color="auto" w:fill="FFFFFF"/>
        </w:rPr>
        <w:t>9781482217711</w:t>
      </w:r>
    </w:p>
    <w:p w14:paraId="039DDBA3"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w:t>
      </w:r>
    </w:p>
    <w:p w14:paraId="3E91472B" w14:textId="19DE76D9"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Note: Older version of this text is </w:t>
      </w:r>
      <w:r w:rsidR="009F65D4">
        <w:rPr>
          <w:rFonts w:cs="Calibri"/>
          <w:color w:val="000000"/>
          <w:szCs w:val="22"/>
          <w:shd w:val="clear" w:color="auto" w:fill="FFFFFF"/>
        </w:rPr>
        <w:t>also acceptable</w:t>
      </w:r>
      <w:r w:rsidRPr="00606E74">
        <w:rPr>
          <w:rFonts w:cs="Calibri"/>
          <w:color w:val="000000"/>
          <w:szCs w:val="22"/>
          <w:shd w:val="clear" w:color="auto" w:fill="FFFFFF"/>
        </w:rPr>
        <w:t>. </w:t>
      </w:r>
    </w:p>
    <w:p w14:paraId="6663FFAE"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Title: Drug Delivery and Targeting: For Pharmacists and Pharmaceutical Scientists.</w:t>
      </w:r>
    </w:p>
    <w:p w14:paraId="2554A5DB"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 xml:space="preserve">Authors: Anya M. </w:t>
      </w:r>
      <w:proofErr w:type="spellStart"/>
      <w:r w:rsidRPr="00606E74">
        <w:rPr>
          <w:rFonts w:cs="Calibri"/>
          <w:color w:val="000000"/>
          <w:szCs w:val="22"/>
          <w:shd w:val="clear" w:color="auto" w:fill="FFFFFF"/>
        </w:rPr>
        <w:t>Hillery</w:t>
      </w:r>
      <w:proofErr w:type="spellEnd"/>
      <w:r w:rsidRPr="00606E74">
        <w:rPr>
          <w:rFonts w:cs="Calibri"/>
          <w:color w:val="000000"/>
          <w:szCs w:val="22"/>
          <w:shd w:val="clear" w:color="auto" w:fill="FFFFFF"/>
        </w:rPr>
        <w:t>, Andrew W. Lloyd, James Swarbrick</w:t>
      </w:r>
    </w:p>
    <w:p w14:paraId="3B6B8EC3"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Copyright date:2001</w:t>
      </w:r>
    </w:p>
    <w:p w14:paraId="28509E44" w14:textId="77777777" w:rsidR="00606E74" w:rsidRPr="00606E74" w:rsidRDefault="00606E74" w:rsidP="00606E74">
      <w:pPr>
        <w:rPr>
          <w:rFonts w:cs="Calibri"/>
          <w:color w:val="000000"/>
          <w:szCs w:val="22"/>
          <w:shd w:val="clear" w:color="auto" w:fill="FFFFFF"/>
        </w:rPr>
      </w:pPr>
      <w:r w:rsidRPr="00606E74">
        <w:rPr>
          <w:rFonts w:cs="Calibri"/>
          <w:color w:val="000000"/>
          <w:szCs w:val="22"/>
          <w:shd w:val="clear" w:color="auto" w:fill="FFFFFF"/>
        </w:rPr>
        <w:t>Publisher: Taylor and Francis</w:t>
      </w:r>
    </w:p>
    <w:p w14:paraId="7E71FF1C" w14:textId="70A59218" w:rsidR="00606E74" w:rsidRPr="00606E74" w:rsidRDefault="00606E74" w:rsidP="001C18FE">
      <w:pPr>
        <w:rPr>
          <w:rFonts w:cs="Calibri"/>
          <w:color w:val="000000"/>
          <w:szCs w:val="22"/>
          <w:shd w:val="clear" w:color="auto" w:fill="FFFFFF"/>
        </w:rPr>
      </w:pPr>
      <w:r w:rsidRPr="00606E74">
        <w:rPr>
          <w:rFonts w:cs="Calibri"/>
          <w:color w:val="000000"/>
          <w:szCs w:val="22"/>
          <w:shd w:val="clear" w:color="auto" w:fill="FFFFFF"/>
        </w:rPr>
        <w:t>ISBN: 9780415271981</w:t>
      </w:r>
    </w:p>
    <w:p w14:paraId="2EC43E9F" w14:textId="77777777" w:rsidR="00606E74" w:rsidRPr="00606E74" w:rsidRDefault="00606E74" w:rsidP="001C18FE">
      <w:pPr>
        <w:rPr>
          <w:szCs w:val="22"/>
        </w:rPr>
      </w:pPr>
    </w:p>
    <w:p w14:paraId="7819059B" w14:textId="7654D033" w:rsidR="00B15595" w:rsidRPr="00B03B37" w:rsidRDefault="00B15595" w:rsidP="001C18FE">
      <w:pPr>
        <w:rPr>
          <w:szCs w:val="22"/>
        </w:rPr>
      </w:pPr>
      <w:r w:rsidRPr="00B03B37">
        <w:rPr>
          <w:szCs w:val="22"/>
        </w:rPr>
        <w:t xml:space="preserve">Course notes are derived primarily from both the required and recommended textbooks listed. Some course notes are derived from published review articles, and will be provided to students accordingly. </w:t>
      </w:r>
    </w:p>
    <w:p w14:paraId="72F8F16F" w14:textId="77777777" w:rsidR="00B15595" w:rsidRPr="00B03B37" w:rsidRDefault="00B15595" w:rsidP="001C18FE">
      <w:pPr>
        <w:rPr>
          <w:szCs w:val="22"/>
        </w:rPr>
      </w:pPr>
    </w:p>
    <w:p w14:paraId="0A073A0D" w14:textId="77777777" w:rsidR="001C18FE" w:rsidRPr="00B03B37" w:rsidRDefault="001C18FE" w:rsidP="001C18FE">
      <w:pPr>
        <w:rPr>
          <w:b/>
          <w:i/>
          <w:szCs w:val="22"/>
        </w:rPr>
      </w:pPr>
      <w:r w:rsidRPr="00B03B37">
        <w:rPr>
          <w:b/>
          <w:i/>
          <w:szCs w:val="22"/>
        </w:rPr>
        <w:t>Recommended Materials</w:t>
      </w:r>
    </w:p>
    <w:p w14:paraId="63C8953E" w14:textId="77777777" w:rsidR="00B15595" w:rsidRPr="00B03B37" w:rsidRDefault="00B15595" w:rsidP="00B15595">
      <w:pPr>
        <w:widowControl w:val="0"/>
        <w:autoSpaceDE w:val="0"/>
        <w:autoSpaceDN w:val="0"/>
        <w:adjustRightInd w:val="0"/>
        <w:rPr>
          <w:szCs w:val="22"/>
        </w:rPr>
      </w:pPr>
      <w:r w:rsidRPr="00B03B37">
        <w:rPr>
          <w:szCs w:val="22"/>
        </w:rPr>
        <w:t>Title: Engineering Principle of Drug Delivery</w:t>
      </w:r>
    </w:p>
    <w:p w14:paraId="211258EC" w14:textId="77777777" w:rsidR="00B15595" w:rsidRPr="00B03B37" w:rsidRDefault="00B15595" w:rsidP="00B15595">
      <w:pPr>
        <w:widowControl w:val="0"/>
        <w:autoSpaceDE w:val="0"/>
        <w:autoSpaceDN w:val="0"/>
        <w:adjustRightInd w:val="0"/>
        <w:rPr>
          <w:szCs w:val="22"/>
        </w:rPr>
      </w:pPr>
      <w:r w:rsidRPr="00B03B37">
        <w:rPr>
          <w:szCs w:val="22"/>
        </w:rPr>
        <w:t>Author: Mark Saltzman</w:t>
      </w:r>
    </w:p>
    <w:p w14:paraId="57EA10B4" w14:textId="77777777" w:rsidR="00B15595" w:rsidRPr="00B03B37" w:rsidRDefault="00B15595" w:rsidP="00B15595">
      <w:pPr>
        <w:widowControl w:val="0"/>
        <w:autoSpaceDE w:val="0"/>
        <w:autoSpaceDN w:val="0"/>
        <w:adjustRightInd w:val="0"/>
        <w:rPr>
          <w:szCs w:val="22"/>
        </w:rPr>
      </w:pPr>
      <w:r w:rsidRPr="00B03B37">
        <w:rPr>
          <w:szCs w:val="22"/>
        </w:rPr>
        <w:t>Copyright Date: 2001</w:t>
      </w:r>
    </w:p>
    <w:p w14:paraId="498FA15B" w14:textId="77777777" w:rsidR="00B15595" w:rsidRPr="00B03B37" w:rsidRDefault="00B15595" w:rsidP="00B15595">
      <w:pPr>
        <w:widowControl w:val="0"/>
        <w:autoSpaceDE w:val="0"/>
        <w:autoSpaceDN w:val="0"/>
        <w:adjustRightInd w:val="0"/>
        <w:rPr>
          <w:szCs w:val="22"/>
        </w:rPr>
      </w:pPr>
      <w:r w:rsidRPr="00B03B37">
        <w:rPr>
          <w:szCs w:val="22"/>
        </w:rPr>
        <w:t>Publisher: Oxford University Press</w:t>
      </w:r>
    </w:p>
    <w:p w14:paraId="7068A3C0" w14:textId="262E0357" w:rsidR="001C18FE" w:rsidRPr="00B03B37" w:rsidRDefault="00B15595" w:rsidP="00B15595">
      <w:pPr>
        <w:rPr>
          <w:szCs w:val="22"/>
        </w:rPr>
      </w:pPr>
      <w:r w:rsidRPr="00B03B37">
        <w:rPr>
          <w:szCs w:val="22"/>
        </w:rPr>
        <w:t>ISBN: 0-19-508589-2</w:t>
      </w:r>
    </w:p>
    <w:p w14:paraId="4E42EDEE" w14:textId="77777777" w:rsidR="00B15595" w:rsidRPr="00B03B37" w:rsidRDefault="00B15595" w:rsidP="00B15595">
      <w:pPr>
        <w:rPr>
          <w:szCs w:val="22"/>
        </w:rPr>
      </w:pPr>
    </w:p>
    <w:p w14:paraId="4BDE912E" w14:textId="77777777" w:rsidR="001C18FE" w:rsidRPr="00B03B37" w:rsidRDefault="001C18FE" w:rsidP="00955689">
      <w:pPr>
        <w:rPr>
          <w:b/>
          <w:i/>
          <w:szCs w:val="22"/>
        </w:rPr>
      </w:pPr>
      <w:r w:rsidRPr="00B03B37">
        <w:rPr>
          <w:b/>
          <w:i/>
          <w:szCs w:val="22"/>
        </w:rPr>
        <w:t>Course Schedule</w:t>
      </w:r>
    </w:p>
    <w:p w14:paraId="269978F9" w14:textId="3F8CE2D6" w:rsidR="00E049FD" w:rsidRPr="00B03B37" w:rsidRDefault="00E049FD" w:rsidP="00955689">
      <w:pPr>
        <w:rPr>
          <w:b/>
          <w:i/>
          <w:szCs w:val="22"/>
        </w:rPr>
      </w:pPr>
      <w:r w:rsidRPr="00B03B37">
        <w:rPr>
          <w:b/>
          <w:i/>
          <w:szCs w:val="22"/>
        </w:rPr>
        <w:t>* Note this is subject to change at instructor’s discretion</w:t>
      </w:r>
      <w:r w:rsidR="00E55913">
        <w:rPr>
          <w:b/>
          <w:i/>
          <w:szCs w:val="22"/>
        </w:rPr>
        <w:t xml:space="preserve">. </w:t>
      </w:r>
    </w:p>
    <w:p w14:paraId="128230D6" w14:textId="77777777" w:rsidR="00E049FD" w:rsidRPr="00B03B37" w:rsidRDefault="00E049FD" w:rsidP="00955689">
      <w:pPr>
        <w:rPr>
          <w:szCs w:val="22"/>
        </w:rPr>
      </w:pPr>
    </w:p>
    <w:p w14:paraId="34745C91" w14:textId="446A75D1" w:rsidR="001C18FE" w:rsidRPr="00B03B37" w:rsidRDefault="00820834" w:rsidP="00955689">
      <w:pPr>
        <w:rPr>
          <w:szCs w:val="22"/>
        </w:rPr>
      </w:pPr>
      <w:r w:rsidRPr="00B03B37">
        <w:rPr>
          <w:szCs w:val="22"/>
        </w:rPr>
        <w:t>Week 1:</w:t>
      </w:r>
      <w:r w:rsidRPr="00B03B37">
        <w:rPr>
          <w:szCs w:val="22"/>
        </w:rPr>
        <w:tab/>
      </w:r>
      <w:r w:rsidR="00E049FD" w:rsidRPr="00B03B37">
        <w:rPr>
          <w:szCs w:val="22"/>
        </w:rPr>
        <w:t xml:space="preserve">Course Overview, </w:t>
      </w:r>
      <w:r w:rsidR="00B52D6C" w:rsidRPr="00B03B37">
        <w:rPr>
          <w:szCs w:val="22"/>
        </w:rPr>
        <w:t>Introduction to Controlled Drug Delivery</w:t>
      </w:r>
      <w:r w:rsidR="00F05405">
        <w:rPr>
          <w:szCs w:val="22"/>
        </w:rPr>
        <w:t>,</w:t>
      </w:r>
      <w:r w:rsidR="00F05405" w:rsidRPr="00F05405">
        <w:rPr>
          <w:szCs w:val="22"/>
        </w:rPr>
        <w:t xml:space="preserve"> </w:t>
      </w:r>
      <w:r w:rsidR="00F05405" w:rsidRPr="00B03B37">
        <w:rPr>
          <w:szCs w:val="22"/>
        </w:rPr>
        <w:t>Pharmacokinetics/Pharmacodynamics</w:t>
      </w:r>
      <w:r w:rsidR="00B52D6C" w:rsidRPr="00B03B37">
        <w:rPr>
          <w:szCs w:val="22"/>
        </w:rPr>
        <w:t xml:space="preserve"> </w:t>
      </w:r>
    </w:p>
    <w:p w14:paraId="69A7995B" w14:textId="59189050" w:rsidR="00B52D6C" w:rsidRPr="00B03B37" w:rsidRDefault="00B52D6C" w:rsidP="00955689">
      <w:pPr>
        <w:rPr>
          <w:szCs w:val="22"/>
        </w:rPr>
      </w:pPr>
      <w:r w:rsidRPr="00B03B37">
        <w:rPr>
          <w:szCs w:val="22"/>
        </w:rPr>
        <w:tab/>
      </w:r>
      <w:r w:rsidRPr="00B03B37">
        <w:rPr>
          <w:szCs w:val="22"/>
        </w:rPr>
        <w:tab/>
      </w:r>
      <w:r w:rsidR="00E049FD" w:rsidRPr="00B03B37">
        <w:rPr>
          <w:szCs w:val="22"/>
        </w:rPr>
        <w:t>(</w:t>
      </w:r>
      <w:proofErr w:type="spellStart"/>
      <w:r w:rsidRPr="00B03B37">
        <w:rPr>
          <w:szCs w:val="22"/>
        </w:rPr>
        <w:t>Hillery</w:t>
      </w:r>
      <w:proofErr w:type="spellEnd"/>
      <w:r w:rsidRPr="00B03B37">
        <w:rPr>
          <w:szCs w:val="22"/>
        </w:rPr>
        <w:t xml:space="preserve"> Ch. 1-3</w:t>
      </w:r>
      <w:r w:rsidR="00E049FD" w:rsidRPr="00B03B37">
        <w:rPr>
          <w:szCs w:val="22"/>
        </w:rPr>
        <w:t>)</w:t>
      </w:r>
    </w:p>
    <w:p w14:paraId="4E261CAF" w14:textId="77777777" w:rsidR="00B52D6C" w:rsidRPr="00B03B37" w:rsidRDefault="00B52D6C" w:rsidP="00955689">
      <w:pPr>
        <w:rPr>
          <w:szCs w:val="22"/>
        </w:rPr>
      </w:pPr>
    </w:p>
    <w:p w14:paraId="057C24AE" w14:textId="4056F0BB" w:rsidR="00E049FD" w:rsidRPr="00B03B37" w:rsidRDefault="00820834" w:rsidP="00E049FD">
      <w:pPr>
        <w:widowControl w:val="0"/>
        <w:autoSpaceDE w:val="0"/>
        <w:autoSpaceDN w:val="0"/>
        <w:adjustRightInd w:val="0"/>
        <w:rPr>
          <w:szCs w:val="22"/>
        </w:rPr>
      </w:pPr>
      <w:r w:rsidRPr="00B03B37">
        <w:rPr>
          <w:szCs w:val="22"/>
        </w:rPr>
        <w:t>Week 2:</w:t>
      </w:r>
      <w:r w:rsidRPr="00B03B37">
        <w:rPr>
          <w:szCs w:val="22"/>
        </w:rPr>
        <w:tab/>
      </w:r>
      <w:r w:rsidR="00E049FD" w:rsidRPr="00B03B37">
        <w:rPr>
          <w:szCs w:val="22"/>
        </w:rPr>
        <w:t>Pharmacokinetics/Pharmacodynamics</w:t>
      </w:r>
    </w:p>
    <w:p w14:paraId="23918CBF" w14:textId="1E8017DC" w:rsidR="00F05405" w:rsidRPr="00B03B37" w:rsidRDefault="00D82A52" w:rsidP="00E049FD">
      <w:pPr>
        <w:rPr>
          <w:szCs w:val="22"/>
        </w:rPr>
      </w:pPr>
      <w:r>
        <w:rPr>
          <w:szCs w:val="22"/>
        </w:rPr>
        <w:tab/>
      </w:r>
      <w:r w:rsidR="00B03B37">
        <w:rPr>
          <w:szCs w:val="22"/>
        </w:rPr>
        <w:tab/>
      </w:r>
      <w:r w:rsidR="00E049FD" w:rsidRPr="00B03B37">
        <w:rPr>
          <w:szCs w:val="22"/>
        </w:rPr>
        <w:t>(</w:t>
      </w:r>
      <w:proofErr w:type="spellStart"/>
      <w:r w:rsidR="00E049FD" w:rsidRPr="00B03B37">
        <w:rPr>
          <w:szCs w:val="22"/>
        </w:rPr>
        <w:t>Hillery</w:t>
      </w:r>
      <w:proofErr w:type="spellEnd"/>
      <w:r w:rsidR="00E049FD" w:rsidRPr="00B03B37">
        <w:rPr>
          <w:szCs w:val="22"/>
        </w:rPr>
        <w:t xml:space="preserve"> Ch. 1-3, Saltzman Ch. 7)</w:t>
      </w:r>
    </w:p>
    <w:p w14:paraId="16D6A4A7" w14:textId="77777777" w:rsidR="00E049FD" w:rsidRPr="00B03B37" w:rsidRDefault="00E049FD" w:rsidP="00E049FD">
      <w:pPr>
        <w:rPr>
          <w:szCs w:val="22"/>
        </w:rPr>
      </w:pPr>
    </w:p>
    <w:p w14:paraId="59237690" w14:textId="07C04C05" w:rsidR="00E049FD" w:rsidRDefault="00E049FD" w:rsidP="00E049FD">
      <w:pPr>
        <w:rPr>
          <w:szCs w:val="22"/>
        </w:rPr>
      </w:pPr>
      <w:r w:rsidRPr="00B03B37">
        <w:rPr>
          <w:szCs w:val="22"/>
        </w:rPr>
        <w:t>Week 3</w:t>
      </w:r>
      <w:r w:rsidRPr="00B03B37">
        <w:rPr>
          <w:szCs w:val="22"/>
        </w:rPr>
        <w:tab/>
      </w:r>
      <w:r w:rsidRPr="00B03B37">
        <w:rPr>
          <w:szCs w:val="22"/>
        </w:rPr>
        <w:tab/>
        <w:t xml:space="preserve">Diffusion in Biological Systems (Saltzman Ch. 2-4, </w:t>
      </w:r>
      <w:proofErr w:type="spellStart"/>
      <w:r w:rsidRPr="00B03B37">
        <w:rPr>
          <w:szCs w:val="22"/>
        </w:rPr>
        <w:t>Hillery</w:t>
      </w:r>
      <w:proofErr w:type="spellEnd"/>
      <w:r w:rsidRPr="00B03B37">
        <w:rPr>
          <w:szCs w:val="22"/>
        </w:rPr>
        <w:t xml:space="preserve"> Ch. 3)</w:t>
      </w:r>
    </w:p>
    <w:p w14:paraId="77311FEC" w14:textId="282D16EA" w:rsidR="00E55913" w:rsidRPr="00B03B37" w:rsidRDefault="00E55913" w:rsidP="00E049FD">
      <w:pPr>
        <w:rPr>
          <w:szCs w:val="22"/>
        </w:rPr>
      </w:pPr>
      <w:r>
        <w:rPr>
          <w:szCs w:val="22"/>
        </w:rPr>
        <w:tab/>
      </w:r>
      <w:r>
        <w:rPr>
          <w:szCs w:val="22"/>
        </w:rPr>
        <w:tab/>
        <w:t>QUIZ 1 (</w:t>
      </w:r>
      <w:r w:rsidRPr="00B03B37">
        <w:rPr>
          <w:szCs w:val="22"/>
        </w:rPr>
        <w:t>Pharmacokinetics/Pharmacodynamics</w:t>
      </w:r>
      <w:r>
        <w:rPr>
          <w:szCs w:val="22"/>
        </w:rPr>
        <w:t>)</w:t>
      </w:r>
    </w:p>
    <w:p w14:paraId="684CB57B" w14:textId="77777777" w:rsidR="00DD77E0" w:rsidRPr="00B03B37" w:rsidRDefault="00DD77E0" w:rsidP="00E049FD">
      <w:pPr>
        <w:rPr>
          <w:szCs w:val="22"/>
        </w:rPr>
      </w:pPr>
    </w:p>
    <w:p w14:paraId="7E11D4DF" w14:textId="7FD5C3F5" w:rsidR="00820834" w:rsidRPr="00B03B37" w:rsidRDefault="00E049FD" w:rsidP="00820834">
      <w:pPr>
        <w:rPr>
          <w:szCs w:val="22"/>
        </w:rPr>
      </w:pPr>
      <w:r w:rsidRPr="00B03B37">
        <w:rPr>
          <w:szCs w:val="22"/>
        </w:rPr>
        <w:t>Week 4</w:t>
      </w:r>
      <w:r w:rsidRPr="00B03B37">
        <w:rPr>
          <w:szCs w:val="22"/>
        </w:rPr>
        <w:tab/>
      </w:r>
      <w:r w:rsidRPr="00B03B37">
        <w:rPr>
          <w:szCs w:val="22"/>
        </w:rPr>
        <w:tab/>
        <w:t xml:space="preserve">Polymers in Drug Delivery Systems (Saltzman Ch 9-10, Appendix A2. </w:t>
      </w:r>
      <w:proofErr w:type="spellStart"/>
      <w:r w:rsidRPr="00B03B37">
        <w:rPr>
          <w:szCs w:val="22"/>
        </w:rPr>
        <w:t>Hillery</w:t>
      </w:r>
      <w:proofErr w:type="spellEnd"/>
      <w:r w:rsidRPr="00B03B37">
        <w:rPr>
          <w:szCs w:val="22"/>
        </w:rPr>
        <w:t xml:space="preserve"> Ch 4-5)</w:t>
      </w:r>
    </w:p>
    <w:p w14:paraId="34BED7B7" w14:textId="77777777" w:rsidR="00DD77E0" w:rsidRPr="00B03B37" w:rsidRDefault="00DD77E0" w:rsidP="00820834">
      <w:pPr>
        <w:rPr>
          <w:szCs w:val="22"/>
        </w:rPr>
      </w:pPr>
    </w:p>
    <w:p w14:paraId="18666332" w14:textId="1AE710D3" w:rsidR="00DD77E0" w:rsidRDefault="00E049FD" w:rsidP="00820834">
      <w:pPr>
        <w:rPr>
          <w:szCs w:val="22"/>
        </w:rPr>
      </w:pPr>
      <w:r w:rsidRPr="00B03B37">
        <w:rPr>
          <w:szCs w:val="22"/>
        </w:rPr>
        <w:t>Week 5</w:t>
      </w:r>
      <w:r w:rsidR="00DD77E0" w:rsidRPr="00B03B37">
        <w:rPr>
          <w:szCs w:val="22"/>
        </w:rPr>
        <w:tab/>
      </w:r>
      <w:r w:rsidR="00DD77E0" w:rsidRPr="00B03B37">
        <w:rPr>
          <w:szCs w:val="22"/>
        </w:rPr>
        <w:tab/>
      </w:r>
      <w:proofErr w:type="spellStart"/>
      <w:r w:rsidR="00DD77E0" w:rsidRPr="00B03B37">
        <w:rPr>
          <w:szCs w:val="22"/>
        </w:rPr>
        <w:t>Bioresponsive</w:t>
      </w:r>
      <w:proofErr w:type="spellEnd"/>
      <w:r w:rsidR="00DD77E0" w:rsidRPr="00B03B37">
        <w:rPr>
          <w:szCs w:val="22"/>
        </w:rPr>
        <w:t xml:space="preserve"> polymers for drug delivery</w:t>
      </w:r>
    </w:p>
    <w:p w14:paraId="2D7D2367" w14:textId="07F222B9" w:rsidR="00E55913" w:rsidRPr="00B03B37" w:rsidRDefault="00E55913" w:rsidP="00820834">
      <w:pPr>
        <w:rPr>
          <w:szCs w:val="22"/>
        </w:rPr>
      </w:pPr>
      <w:r>
        <w:rPr>
          <w:szCs w:val="22"/>
        </w:rPr>
        <w:tab/>
      </w:r>
      <w:r>
        <w:rPr>
          <w:szCs w:val="22"/>
        </w:rPr>
        <w:tab/>
        <w:t xml:space="preserve">QUIZ 2 (Engineering Controlled Release Systems) </w:t>
      </w:r>
    </w:p>
    <w:p w14:paraId="29656CEB" w14:textId="77777777" w:rsidR="00DD77E0" w:rsidRPr="00B03B37" w:rsidRDefault="00DD77E0" w:rsidP="00820834">
      <w:pPr>
        <w:rPr>
          <w:szCs w:val="22"/>
        </w:rPr>
      </w:pPr>
    </w:p>
    <w:p w14:paraId="08394393" w14:textId="13FF427E" w:rsidR="00E049FD" w:rsidRPr="00B03B37" w:rsidRDefault="00E049FD" w:rsidP="00D82A52">
      <w:pPr>
        <w:widowControl w:val="0"/>
        <w:autoSpaceDE w:val="0"/>
        <w:autoSpaceDN w:val="0"/>
        <w:adjustRightInd w:val="0"/>
        <w:rPr>
          <w:szCs w:val="22"/>
        </w:rPr>
      </w:pPr>
      <w:r w:rsidRPr="00B03B37">
        <w:rPr>
          <w:szCs w:val="22"/>
        </w:rPr>
        <w:t>Week 6</w:t>
      </w:r>
      <w:r w:rsidR="00DD77E0" w:rsidRPr="00B03B37">
        <w:rPr>
          <w:szCs w:val="22"/>
        </w:rPr>
        <w:tab/>
      </w:r>
      <w:r w:rsidR="00DD77E0" w:rsidRPr="00B03B37">
        <w:rPr>
          <w:szCs w:val="22"/>
        </w:rPr>
        <w:tab/>
        <w:t>Parenteral Drug Delivery Systems (</w:t>
      </w:r>
      <w:proofErr w:type="spellStart"/>
      <w:r w:rsidR="00DD77E0" w:rsidRPr="00B03B37">
        <w:rPr>
          <w:szCs w:val="22"/>
        </w:rPr>
        <w:t>Hillery</w:t>
      </w:r>
      <w:proofErr w:type="spellEnd"/>
      <w:r w:rsidR="00DD77E0" w:rsidRPr="00B03B37">
        <w:rPr>
          <w:szCs w:val="22"/>
        </w:rPr>
        <w:t xml:space="preserve"> Ch. 4-5, Saltzman Ch. 9-10)</w:t>
      </w:r>
    </w:p>
    <w:p w14:paraId="2985ED1E" w14:textId="77777777" w:rsidR="00DD77E0" w:rsidRPr="00B03B37" w:rsidRDefault="00DD77E0" w:rsidP="00820834">
      <w:pPr>
        <w:rPr>
          <w:szCs w:val="22"/>
        </w:rPr>
      </w:pPr>
    </w:p>
    <w:p w14:paraId="10C38A8B" w14:textId="05106EA8" w:rsidR="00E55913" w:rsidRDefault="00E55913" w:rsidP="00820834">
      <w:pPr>
        <w:rPr>
          <w:szCs w:val="22"/>
        </w:rPr>
      </w:pPr>
      <w:r>
        <w:rPr>
          <w:szCs w:val="22"/>
        </w:rPr>
        <w:t xml:space="preserve">Week 7 </w:t>
      </w:r>
      <w:r>
        <w:rPr>
          <w:szCs w:val="22"/>
        </w:rPr>
        <w:tab/>
      </w:r>
      <w:r w:rsidR="00F71607">
        <w:rPr>
          <w:szCs w:val="22"/>
        </w:rPr>
        <w:t xml:space="preserve">Parenteral </w:t>
      </w:r>
      <w:r w:rsidR="00F71607" w:rsidRPr="00B03B37">
        <w:rPr>
          <w:szCs w:val="22"/>
        </w:rPr>
        <w:t>Drug</w:t>
      </w:r>
      <w:r w:rsidR="00F71607">
        <w:rPr>
          <w:szCs w:val="22"/>
        </w:rPr>
        <w:t xml:space="preserve"> Delivery and Drug</w:t>
      </w:r>
      <w:r w:rsidR="00F71607" w:rsidRPr="00B03B37">
        <w:rPr>
          <w:szCs w:val="22"/>
        </w:rPr>
        <w:t xml:space="preserve"> Targeting</w:t>
      </w:r>
      <w:r w:rsidR="00EF7FE6">
        <w:rPr>
          <w:szCs w:val="22"/>
        </w:rPr>
        <w:t>/Nanomedicine</w:t>
      </w:r>
      <w:r w:rsidR="00F71607" w:rsidRPr="00B03B37">
        <w:rPr>
          <w:szCs w:val="22"/>
        </w:rPr>
        <w:t xml:space="preserve"> (</w:t>
      </w:r>
      <w:proofErr w:type="spellStart"/>
      <w:r w:rsidR="00F71607" w:rsidRPr="00B03B37">
        <w:rPr>
          <w:szCs w:val="22"/>
        </w:rPr>
        <w:t>Hillery</w:t>
      </w:r>
      <w:proofErr w:type="spellEnd"/>
      <w:r w:rsidR="00F71607" w:rsidRPr="00B03B37">
        <w:rPr>
          <w:szCs w:val="22"/>
        </w:rPr>
        <w:t xml:space="preserve"> Ch. 5)</w:t>
      </w:r>
      <w:r>
        <w:rPr>
          <w:szCs w:val="22"/>
        </w:rPr>
        <w:t xml:space="preserve"> </w:t>
      </w:r>
    </w:p>
    <w:p w14:paraId="425EAAC7" w14:textId="77777777" w:rsidR="00E55913" w:rsidRDefault="00E55913" w:rsidP="00820834">
      <w:pPr>
        <w:rPr>
          <w:szCs w:val="22"/>
        </w:rPr>
      </w:pPr>
    </w:p>
    <w:p w14:paraId="72024667" w14:textId="000BA815" w:rsidR="00E55913" w:rsidRDefault="00E049FD" w:rsidP="00820834">
      <w:pPr>
        <w:rPr>
          <w:szCs w:val="22"/>
        </w:rPr>
      </w:pPr>
      <w:r w:rsidRPr="00B03B37">
        <w:rPr>
          <w:szCs w:val="22"/>
        </w:rPr>
        <w:t xml:space="preserve">Week </w:t>
      </w:r>
      <w:r w:rsidR="00F71607">
        <w:rPr>
          <w:szCs w:val="22"/>
        </w:rPr>
        <w:t>8</w:t>
      </w:r>
      <w:r w:rsidR="00DD77E0" w:rsidRPr="00B03B37">
        <w:rPr>
          <w:szCs w:val="22"/>
        </w:rPr>
        <w:tab/>
      </w:r>
      <w:r w:rsidR="00DD77E0" w:rsidRPr="00B03B37">
        <w:rPr>
          <w:szCs w:val="22"/>
        </w:rPr>
        <w:tab/>
      </w:r>
      <w:r w:rsidR="00E55913" w:rsidRPr="00B03B37">
        <w:rPr>
          <w:szCs w:val="22"/>
        </w:rPr>
        <w:t>Gene/Nucleic Acid Delivery (</w:t>
      </w:r>
      <w:proofErr w:type="spellStart"/>
      <w:r w:rsidR="00E55913" w:rsidRPr="00B03B37">
        <w:rPr>
          <w:szCs w:val="22"/>
        </w:rPr>
        <w:t>Hillery</w:t>
      </w:r>
      <w:proofErr w:type="spellEnd"/>
      <w:r w:rsidR="00E55913" w:rsidRPr="00B03B37">
        <w:rPr>
          <w:szCs w:val="22"/>
        </w:rPr>
        <w:t xml:space="preserve"> Ch. 14)</w:t>
      </w:r>
    </w:p>
    <w:p w14:paraId="5367C2B8" w14:textId="77777777" w:rsidR="003F7AE1" w:rsidRDefault="003F7AE1" w:rsidP="003F7AE1">
      <w:pPr>
        <w:rPr>
          <w:szCs w:val="22"/>
        </w:rPr>
      </w:pPr>
      <w:r>
        <w:rPr>
          <w:szCs w:val="22"/>
        </w:rPr>
        <w:tab/>
      </w:r>
      <w:r>
        <w:rPr>
          <w:szCs w:val="22"/>
        </w:rPr>
        <w:tab/>
      </w:r>
      <w:r>
        <w:rPr>
          <w:szCs w:val="22"/>
        </w:rPr>
        <w:t>QUIZ 3 (Parenteral DD and Nanomedicine)</w:t>
      </w:r>
    </w:p>
    <w:p w14:paraId="18950CA5" w14:textId="4D9DF899" w:rsidR="00E55913" w:rsidRDefault="00E55913" w:rsidP="00820834">
      <w:pPr>
        <w:rPr>
          <w:szCs w:val="22"/>
        </w:rPr>
      </w:pPr>
    </w:p>
    <w:p w14:paraId="50CA8547" w14:textId="2B296C7F" w:rsidR="00F71607" w:rsidRDefault="00E55913" w:rsidP="00F71607">
      <w:pPr>
        <w:rPr>
          <w:szCs w:val="22"/>
        </w:rPr>
      </w:pPr>
      <w:r w:rsidRPr="00B03B37">
        <w:rPr>
          <w:szCs w:val="22"/>
        </w:rPr>
        <w:t xml:space="preserve">Week </w:t>
      </w:r>
      <w:r w:rsidR="00F71607">
        <w:rPr>
          <w:szCs w:val="22"/>
        </w:rPr>
        <w:t>9</w:t>
      </w:r>
      <w:r w:rsidRPr="00B03B37">
        <w:rPr>
          <w:szCs w:val="22"/>
        </w:rPr>
        <w:tab/>
      </w:r>
      <w:r>
        <w:rPr>
          <w:szCs w:val="22"/>
        </w:rPr>
        <w:tab/>
      </w:r>
      <w:r w:rsidR="00F71607" w:rsidRPr="00B03B37">
        <w:rPr>
          <w:szCs w:val="22"/>
        </w:rPr>
        <w:t>Cells as Drugs and Drug Delivery Systems</w:t>
      </w:r>
    </w:p>
    <w:p w14:paraId="2A493E0B" w14:textId="77777777" w:rsidR="003F7AE1" w:rsidRDefault="003F7AE1" w:rsidP="003F7AE1">
      <w:pPr>
        <w:ind w:left="720" w:firstLine="720"/>
        <w:rPr>
          <w:szCs w:val="22"/>
        </w:rPr>
      </w:pPr>
      <w:r>
        <w:rPr>
          <w:szCs w:val="22"/>
        </w:rPr>
        <w:t>MIDTERM EXAM</w:t>
      </w:r>
    </w:p>
    <w:p w14:paraId="3E38F62F" w14:textId="77777777" w:rsidR="003F7AE1" w:rsidRDefault="00EF7FE6" w:rsidP="00820834">
      <w:pPr>
        <w:rPr>
          <w:szCs w:val="22"/>
        </w:rPr>
      </w:pPr>
      <w:r>
        <w:rPr>
          <w:szCs w:val="22"/>
        </w:rPr>
        <w:tab/>
      </w:r>
      <w:r>
        <w:rPr>
          <w:szCs w:val="22"/>
        </w:rPr>
        <w:tab/>
      </w:r>
    </w:p>
    <w:p w14:paraId="11BF4A52" w14:textId="77777777" w:rsidR="003F7AE1" w:rsidRDefault="00E55913" w:rsidP="00E55913">
      <w:pPr>
        <w:rPr>
          <w:szCs w:val="22"/>
        </w:rPr>
      </w:pPr>
      <w:r>
        <w:rPr>
          <w:szCs w:val="22"/>
        </w:rPr>
        <w:t>Week</w:t>
      </w:r>
      <w:r w:rsidR="00F71607">
        <w:rPr>
          <w:szCs w:val="22"/>
        </w:rPr>
        <w:t xml:space="preserve"> 10</w:t>
      </w:r>
      <w:r>
        <w:rPr>
          <w:szCs w:val="22"/>
        </w:rPr>
        <w:tab/>
      </w:r>
      <w:r w:rsidR="003F7AE1">
        <w:rPr>
          <w:szCs w:val="22"/>
        </w:rPr>
        <w:t xml:space="preserve">SPRING BREAK </w:t>
      </w:r>
    </w:p>
    <w:p w14:paraId="335B3E36" w14:textId="3F2B0E3B" w:rsidR="00E55913" w:rsidRDefault="003F7AE1" w:rsidP="003F7AE1">
      <w:pPr>
        <w:rPr>
          <w:szCs w:val="22"/>
        </w:rPr>
      </w:pPr>
      <w:r>
        <w:rPr>
          <w:szCs w:val="22"/>
        </w:rPr>
        <w:lastRenderedPageBreak/>
        <w:t xml:space="preserve">Week 11 </w:t>
      </w:r>
      <w:r>
        <w:rPr>
          <w:szCs w:val="22"/>
        </w:rPr>
        <w:tab/>
      </w:r>
      <w:r w:rsidR="00F71607" w:rsidRPr="00B03B37">
        <w:rPr>
          <w:szCs w:val="22"/>
        </w:rPr>
        <w:t>Oral Drug Delivery (</w:t>
      </w:r>
      <w:proofErr w:type="spellStart"/>
      <w:r w:rsidR="00F71607" w:rsidRPr="00B03B37">
        <w:rPr>
          <w:szCs w:val="22"/>
        </w:rPr>
        <w:t>Hillery</w:t>
      </w:r>
      <w:proofErr w:type="spellEnd"/>
      <w:r w:rsidR="00F71607" w:rsidRPr="00B03B37">
        <w:rPr>
          <w:szCs w:val="22"/>
        </w:rPr>
        <w:t xml:space="preserve"> Ch. 6)</w:t>
      </w:r>
    </w:p>
    <w:p w14:paraId="2453040D" w14:textId="1FCF3879" w:rsidR="00E55913" w:rsidRDefault="00E55913" w:rsidP="00E55913">
      <w:pPr>
        <w:rPr>
          <w:szCs w:val="22"/>
        </w:rPr>
      </w:pPr>
    </w:p>
    <w:p w14:paraId="3D864CD9" w14:textId="7DB0621E" w:rsidR="00F71607" w:rsidRPr="00B03B37" w:rsidRDefault="00E55913" w:rsidP="00F71607">
      <w:pPr>
        <w:rPr>
          <w:szCs w:val="22"/>
        </w:rPr>
      </w:pPr>
      <w:r>
        <w:rPr>
          <w:szCs w:val="22"/>
        </w:rPr>
        <w:t>Week 1</w:t>
      </w:r>
      <w:r w:rsidR="003F7AE1">
        <w:rPr>
          <w:szCs w:val="22"/>
        </w:rPr>
        <w:t>2</w:t>
      </w:r>
      <w:r>
        <w:rPr>
          <w:szCs w:val="22"/>
        </w:rPr>
        <w:t xml:space="preserve"> </w:t>
      </w:r>
      <w:r>
        <w:rPr>
          <w:szCs w:val="22"/>
        </w:rPr>
        <w:tab/>
      </w:r>
      <w:r w:rsidR="00F71607" w:rsidRPr="00B03B37">
        <w:rPr>
          <w:szCs w:val="22"/>
        </w:rPr>
        <w:t>Transdermal Drug Delivery (</w:t>
      </w:r>
      <w:proofErr w:type="spellStart"/>
      <w:r w:rsidR="00F71607" w:rsidRPr="00B03B37">
        <w:rPr>
          <w:szCs w:val="22"/>
        </w:rPr>
        <w:t>Hillery</w:t>
      </w:r>
      <w:proofErr w:type="spellEnd"/>
      <w:r w:rsidR="00F71607" w:rsidRPr="00B03B37">
        <w:rPr>
          <w:szCs w:val="22"/>
        </w:rPr>
        <w:t xml:space="preserve"> Ch. 8)</w:t>
      </w:r>
    </w:p>
    <w:p w14:paraId="0B98CE78" w14:textId="77777777" w:rsidR="00DD77E0" w:rsidRPr="00B03B37" w:rsidRDefault="00DD77E0" w:rsidP="00820834">
      <w:pPr>
        <w:rPr>
          <w:szCs w:val="22"/>
        </w:rPr>
      </w:pPr>
    </w:p>
    <w:p w14:paraId="560DCC42" w14:textId="0D176379" w:rsidR="00F71607" w:rsidRDefault="00E049FD" w:rsidP="00F71607">
      <w:pPr>
        <w:rPr>
          <w:szCs w:val="22"/>
        </w:rPr>
      </w:pPr>
      <w:r w:rsidRPr="00B03B37">
        <w:rPr>
          <w:szCs w:val="22"/>
        </w:rPr>
        <w:t xml:space="preserve">Week </w:t>
      </w:r>
      <w:r w:rsidR="00E55913">
        <w:rPr>
          <w:szCs w:val="22"/>
        </w:rPr>
        <w:t>1</w:t>
      </w:r>
      <w:r w:rsidR="003F7AE1">
        <w:rPr>
          <w:szCs w:val="22"/>
        </w:rPr>
        <w:t>3</w:t>
      </w:r>
      <w:r w:rsidR="00DD77E0" w:rsidRPr="00B03B37">
        <w:rPr>
          <w:szCs w:val="22"/>
        </w:rPr>
        <w:tab/>
      </w:r>
      <w:r w:rsidR="00F71607" w:rsidRPr="00B03B37">
        <w:rPr>
          <w:szCs w:val="22"/>
        </w:rPr>
        <w:t>Pulmonary Drug Delivery (</w:t>
      </w:r>
      <w:proofErr w:type="spellStart"/>
      <w:r w:rsidR="00F71607" w:rsidRPr="00B03B37">
        <w:rPr>
          <w:szCs w:val="22"/>
        </w:rPr>
        <w:t>Hillery</w:t>
      </w:r>
      <w:proofErr w:type="spellEnd"/>
      <w:r w:rsidR="00F71607" w:rsidRPr="00B03B37">
        <w:rPr>
          <w:szCs w:val="22"/>
        </w:rPr>
        <w:t xml:space="preserve"> Ch. 10)</w:t>
      </w:r>
    </w:p>
    <w:p w14:paraId="4552FE7C" w14:textId="22C3CCA3" w:rsidR="00EF7FE6" w:rsidRPr="00B03B37" w:rsidRDefault="00EF7FE6" w:rsidP="00F71607">
      <w:pPr>
        <w:rPr>
          <w:szCs w:val="22"/>
        </w:rPr>
      </w:pPr>
      <w:r>
        <w:rPr>
          <w:szCs w:val="22"/>
        </w:rPr>
        <w:tab/>
      </w:r>
      <w:r>
        <w:rPr>
          <w:szCs w:val="22"/>
        </w:rPr>
        <w:tab/>
        <w:t>Quiz 4 (Routes of Drug Delivery)</w:t>
      </w:r>
    </w:p>
    <w:p w14:paraId="0457612E" w14:textId="77777777" w:rsidR="00DD77E0" w:rsidRPr="00B03B37" w:rsidRDefault="00DD77E0" w:rsidP="00820834">
      <w:pPr>
        <w:rPr>
          <w:szCs w:val="22"/>
        </w:rPr>
      </w:pPr>
    </w:p>
    <w:p w14:paraId="68DB0494" w14:textId="744DEE5E" w:rsidR="00F71607" w:rsidRDefault="00E049FD" w:rsidP="00F71607">
      <w:pPr>
        <w:rPr>
          <w:szCs w:val="22"/>
        </w:rPr>
      </w:pPr>
      <w:r w:rsidRPr="00B03B37">
        <w:rPr>
          <w:szCs w:val="22"/>
        </w:rPr>
        <w:t>Week 1</w:t>
      </w:r>
      <w:r w:rsidR="003F7AE1">
        <w:rPr>
          <w:szCs w:val="22"/>
        </w:rPr>
        <w:t>4</w:t>
      </w:r>
      <w:r w:rsidR="00DD77E0" w:rsidRPr="00B03B37">
        <w:rPr>
          <w:szCs w:val="22"/>
        </w:rPr>
        <w:tab/>
      </w:r>
      <w:r w:rsidR="00F71607">
        <w:rPr>
          <w:szCs w:val="22"/>
        </w:rPr>
        <w:t>*</w:t>
      </w:r>
      <w:r w:rsidR="00F71607" w:rsidRPr="00BD5E98">
        <w:rPr>
          <w:bCs/>
          <w:szCs w:val="22"/>
        </w:rPr>
        <w:t>Student Presentations</w:t>
      </w:r>
    </w:p>
    <w:p w14:paraId="3AA90FD5" w14:textId="77777777" w:rsidR="002A1C5C" w:rsidRPr="00B03B37" w:rsidRDefault="002A1C5C" w:rsidP="00820834">
      <w:pPr>
        <w:rPr>
          <w:szCs w:val="22"/>
        </w:rPr>
      </w:pPr>
    </w:p>
    <w:p w14:paraId="215402A2" w14:textId="73091156" w:rsidR="00DD77E0" w:rsidRDefault="00E049FD" w:rsidP="00820834">
      <w:pPr>
        <w:rPr>
          <w:szCs w:val="22"/>
        </w:rPr>
      </w:pPr>
      <w:r w:rsidRPr="00B03B37">
        <w:rPr>
          <w:szCs w:val="22"/>
        </w:rPr>
        <w:t>Week 1</w:t>
      </w:r>
      <w:r w:rsidR="003F7AE1">
        <w:rPr>
          <w:szCs w:val="22"/>
        </w:rPr>
        <w:t>5</w:t>
      </w:r>
      <w:r w:rsidR="00F71607">
        <w:rPr>
          <w:szCs w:val="22"/>
        </w:rPr>
        <w:tab/>
        <w:t>*</w:t>
      </w:r>
      <w:r w:rsidR="00F71607" w:rsidRPr="00B03B37">
        <w:rPr>
          <w:szCs w:val="22"/>
        </w:rPr>
        <w:t>Student Presentation</w:t>
      </w:r>
      <w:r w:rsidR="003F7AE1">
        <w:rPr>
          <w:szCs w:val="22"/>
        </w:rPr>
        <w:t>s</w:t>
      </w:r>
    </w:p>
    <w:p w14:paraId="5B3EE6AA" w14:textId="77777777" w:rsidR="00D82A52" w:rsidRPr="00B03B37" w:rsidRDefault="00D82A52" w:rsidP="00820834">
      <w:pPr>
        <w:rPr>
          <w:szCs w:val="22"/>
        </w:rPr>
      </w:pPr>
    </w:p>
    <w:p w14:paraId="78394170" w14:textId="7AAF7C17" w:rsidR="00E049FD" w:rsidRPr="006B45F3" w:rsidRDefault="00E049FD" w:rsidP="00820834">
      <w:pPr>
        <w:rPr>
          <w:szCs w:val="22"/>
        </w:rPr>
      </w:pPr>
      <w:r w:rsidRPr="00B03B37">
        <w:rPr>
          <w:szCs w:val="22"/>
        </w:rPr>
        <w:t>Week 1</w:t>
      </w:r>
      <w:r w:rsidR="003F7AE1">
        <w:rPr>
          <w:szCs w:val="22"/>
        </w:rPr>
        <w:t>6</w:t>
      </w:r>
      <w:r w:rsidR="00DD77E0" w:rsidRPr="00B03B37">
        <w:rPr>
          <w:szCs w:val="22"/>
        </w:rPr>
        <w:tab/>
      </w:r>
      <w:r w:rsidR="00F71607" w:rsidRPr="00B03B37">
        <w:rPr>
          <w:szCs w:val="22"/>
        </w:rPr>
        <w:t xml:space="preserve">Exam </w:t>
      </w:r>
      <w:r w:rsidR="00F71607" w:rsidRPr="006B45F3">
        <w:rPr>
          <w:szCs w:val="22"/>
        </w:rPr>
        <w:t>Review</w:t>
      </w:r>
    </w:p>
    <w:p w14:paraId="1EE0120F" w14:textId="49C9603F" w:rsidR="00B03B37" w:rsidRPr="006B45F3" w:rsidRDefault="00073E28" w:rsidP="00820834">
      <w:pPr>
        <w:rPr>
          <w:szCs w:val="22"/>
        </w:rPr>
      </w:pPr>
      <w:r w:rsidRPr="006B45F3">
        <w:rPr>
          <w:szCs w:val="22"/>
        </w:rPr>
        <w:tab/>
      </w:r>
      <w:r w:rsidRPr="006B45F3">
        <w:rPr>
          <w:szCs w:val="22"/>
        </w:rPr>
        <w:tab/>
        <w:t xml:space="preserve"> </w:t>
      </w:r>
    </w:p>
    <w:p w14:paraId="23D0C9F6" w14:textId="47132F37" w:rsidR="006D421B" w:rsidRPr="006B45F3" w:rsidRDefault="00DD77E0" w:rsidP="006D421B">
      <w:pPr>
        <w:rPr>
          <w:szCs w:val="22"/>
        </w:rPr>
      </w:pPr>
      <w:r w:rsidRPr="006B45F3">
        <w:rPr>
          <w:szCs w:val="22"/>
        </w:rPr>
        <w:t>FINAL EXAM</w:t>
      </w:r>
      <w:r w:rsidR="00D82A52" w:rsidRPr="006B45F3">
        <w:rPr>
          <w:szCs w:val="22"/>
        </w:rPr>
        <w:t xml:space="preserve">: </w:t>
      </w:r>
      <w:r w:rsidR="00F05405" w:rsidRPr="006B45F3">
        <w:rPr>
          <w:szCs w:val="22"/>
        </w:rPr>
        <w:tab/>
      </w:r>
      <w:r w:rsidR="00AF4639" w:rsidRPr="006B45F3">
        <w:rPr>
          <w:szCs w:val="22"/>
        </w:rPr>
        <w:t xml:space="preserve"> </w:t>
      </w:r>
      <w:r w:rsidR="006B45F3" w:rsidRPr="006B45F3">
        <w:rPr>
          <w:szCs w:val="22"/>
          <w:shd w:val="clear" w:color="auto" w:fill="FFFFFF"/>
        </w:rPr>
        <w:t>4/27/2022 @ 7:30 AM - 9:30 AM</w:t>
      </w:r>
    </w:p>
    <w:p w14:paraId="2892091D" w14:textId="77777777" w:rsidR="00BD5E98" w:rsidRPr="006B45F3" w:rsidRDefault="00BD5E98" w:rsidP="00820834">
      <w:pPr>
        <w:rPr>
          <w:szCs w:val="22"/>
        </w:rPr>
      </w:pPr>
    </w:p>
    <w:p w14:paraId="05745C1B" w14:textId="232108E1" w:rsidR="00BD5E98" w:rsidRPr="00B03B37" w:rsidRDefault="00BD5E98" w:rsidP="00820834">
      <w:pPr>
        <w:rPr>
          <w:szCs w:val="22"/>
        </w:rPr>
      </w:pPr>
      <w:r>
        <w:rPr>
          <w:szCs w:val="22"/>
        </w:rPr>
        <w:t>*Students will present key findings from a literature review on an approved drug delivery topic and in-depth analysis on one paper related to this topic.</w:t>
      </w:r>
    </w:p>
    <w:p w14:paraId="524B0C8E" w14:textId="242D9481" w:rsidR="006D421B" w:rsidRDefault="006D421B">
      <w:pPr>
        <w:rPr>
          <w:szCs w:val="22"/>
        </w:rPr>
      </w:pPr>
    </w:p>
    <w:p w14:paraId="352FE6C8" w14:textId="77777777" w:rsidR="006D421B" w:rsidRDefault="006D421B" w:rsidP="006D421B">
      <w:pPr>
        <w:ind w:left="31"/>
        <w:jc w:val="both"/>
        <w:rPr>
          <w:color w:val="000000"/>
        </w:rPr>
      </w:pPr>
      <w:r>
        <w:rPr>
          <w:b/>
          <w:i/>
        </w:rPr>
        <w:t>Online Course Recording</w:t>
      </w:r>
    </w:p>
    <w:p w14:paraId="03A6E871" w14:textId="1636D5BD" w:rsidR="006D421B" w:rsidRPr="00B03B37" w:rsidRDefault="003C673D" w:rsidP="006D421B">
      <w:pPr>
        <w:rPr>
          <w:szCs w:val="22"/>
        </w:rPr>
      </w:pPr>
      <w:proofErr w:type="gramStart"/>
      <w:r>
        <w:rPr>
          <w:color w:val="000000"/>
        </w:rPr>
        <w:t>In the event that</w:t>
      </w:r>
      <w:proofErr w:type="gramEnd"/>
      <w:r>
        <w:rPr>
          <w:color w:val="000000"/>
        </w:rPr>
        <w:t xml:space="preserve"> classes </w:t>
      </w:r>
      <w:r w:rsidR="006B45F3">
        <w:rPr>
          <w:color w:val="000000"/>
        </w:rPr>
        <w:t xml:space="preserve">must </w:t>
      </w:r>
      <w:r>
        <w:rPr>
          <w:color w:val="000000"/>
        </w:rPr>
        <w:t>be</w:t>
      </w:r>
      <w:r w:rsidR="006B45F3">
        <w:rPr>
          <w:color w:val="000000"/>
        </w:rPr>
        <w:t xml:space="preserve"> offered </w:t>
      </w:r>
      <w:r>
        <w:rPr>
          <w:color w:val="000000"/>
        </w:rPr>
        <w:t>virtual</w:t>
      </w:r>
      <w:r w:rsidR="006B45F3">
        <w:rPr>
          <w:color w:val="000000"/>
        </w:rPr>
        <w:t>ly</w:t>
      </w:r>
      <w:r>
        <w:rPr>
          <w:color w:val="000000"/>
        </w:rPr>
        <w:t>, o</w:t>
      </w:r>
      <w:r w:rsidR="006D421B">
        <w:rPr>
          <w:color w:val="000000"/>
        </w:rPr>
        <w:t>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55BC26A9" w14:textId="77777777" w:rsidR="006D421B" w:rsidRDefault="006D421B" w:rsidP="00E13F4A">
      <w:pPr>
        <w:rPr>
          <w:b/>
          <w:i/>
          <w:szCs w:val="22"/>
        </w:rPr>
      </w:pPr>
    </w:p>
    <w:p w14:paraId="79EB4A53" w14:textId="44C50777" w:rsidR="00820834" w:rsidRPr="00E13F4A" w:rsidRDefault="00DD0E35" w:rsidP="00E13F4A">
      <w:pPr>
        <w:rPr>
          <w:b/>
          <w:i/>
          <w:color w:val="000000" w:themeColor="text1"/>
          <w:szCs w:val="22"/>
        </w:rPr>
      </w:pPr>
      <w:r w:rsidRPr="00B03B37">
        <w:rPr>
          <w:b/>
          <w:i/>
          <w:szCs w:val="22"/>
        </w:rPr>
        <w:t xml:space="preserve">Attendance Policy, Class </w:t>
      </w:r>
      <w:r w:rsidR="00820834" w:rsidRPr="00B03B37">
        <w:rPr>
          <w:b/>
          <w:i/>
          <w:szCs w:val="22"/>
        </w:rPr>
        <w:t>Expectations</w:t>
      </w:r>
      <w:r w:rsidRPr="00B03B37">
        <w:rPr>
          <w:b/>
          <w:i/>
          <w:szCs w:val="22"/>
        </w:rPr>
        <w:t>, and Make-Up Policy</w:t>
      </w:r>
    </w:p>
    <w:p w14:paraId="23E4E1C3" w14:textId="77777777" w:rsidR="00E13F4A" w:rsidRPr="00E13F4A" w:rsidRDefault="00E13F4A" w:rsidP="00E13F4A">
      <w:pPr>
        <w:rPr>
          <w:color w:val="000000" w:themeColor="text1"/>
        </w:rPr>
      </w:pPr>
      <w:r w:rsidRPr="00E13F4A">
        <w:rPr>
          <w:color w:val="000000" w:themeColor="text1"/>
        </w:rPr>
        <w:t>Excused absences must be consistent with university policies in the undergraduate catalog (</w:t>
      </w:r>
      <w:hyperlink r:id="rId8" w:history="1">
        <w:r w:rsidRPr="00E13F4A">
          <w:rPr>
            <w:rStyle w:val="Hyperlink"/>
            <w:color w:val="000000" w:themeColor="text1"/>
          </w:rPr>
          <w:t>https://catalog.ufl.edu/ugrad/current/regulations/info/attendance.aspx</w:t>
        </w:r>
      </w:hyperlink>
      <w:r w:rsidRPr="00E13F4A">
        <w:rPr>
          <w:color w:val="000000" w:themeColor="text1"/>
        </w:rPr>
        <w:t>) and require appropriate documentation.</w:t>
      </w:r>
    </w:p>
    <w:p w14:paraId="16A183C2" w14:textId="77777777" w:rsidR="00E049FD" w:rsidRPr="00E13F4A" w:rsidRDefault="00E049FD" w:rsidP="00E13F4A">
      <w:pPr>
        <w:widowControl w:val="0"/>
        <w:autoSpaceDE w:val="0"/>
        <w:autoSpaceDN w:val="0"/>
        <w:adjustRightInd w:val="0"/>
        <w:rPr>
          <w:color w:val="000000" w:themeColor="text1"/>
          <w:szCs w:val="22"/>
        </w:rPr>
      </w:pPr>
    </w:p>
    <w:p w14:paraId="2AC923D0" w14:textId="77777777" w:rsidR="00E049FD" w:rsidRPr="00B03B37" w:rsidRDefault="00E049FD" w:rsidP="00E13F4A">
      <w:pPr>
        <w:widowControl w:val="0"/>
        <w:autoSpaceDE w:val="0"/>
        <w:autoSpaceDN w:val="0"/>
        <w:adjustRightInd w:val="0"/>
        <w:rPr>
          <w:szCs w:val="22"/>
        </w:rPr>
      </w:pPr>
      <w:r w:rsidRPr="00E13F4A">
        <w:rPr>
          <w:color w:val="000000" w:themeColor="text1"/>
          <w:szCs w:val="22"/>
        </w:rPr>
        <w:t>Students are expected to attend course lectures and participate i</w:t>
      </w:r>
      <w:r w:rsidRPr="00B03B37">
        <w:rPr>
          <w:szCs w:val="22"/>
        </w:rPr>
        <w:t>n class discussions. It is expected that there will be</w:t>
      </w:r>
    </w:p>
    <w:p w14:paraId="016FA4A7" w14:textId="77777777" w:rsidR="00E049FD" w:rsidRPr="00B03B37" w:rsidRDefault="00E049FD" w:rsidP="00E049FD">
      <w:pPr>
        <w:widowControl w:val="0"/>
        <w:autoSpaceDE w:val="0"/>
        <w:autoSpaceDN w:val="0"/>
        <w:adjustRightInd w:val="0"/>
        <w:rPr>
          <w:szCs w:val="22"/>
        </w:rPr>
      </w:pPr>
      <w:r w:rsidRPr="00B03B37">
        <w:rPr>
          <w:szCs w:val="22"/>
        </w:rPr>
        <w:t>no cell phone or electronic device distractions in class. If you are unable to attend class, will be coming late or</w:t>
      </w:r>
    </w:p>
    <w:p w14:paraId="330C5616" w14:textId="77777777" w:rsidR="00E049FD" w:rsidRPr="00B03B37" w:rsidRDefault="00E049FD" w:rsidP="00E049FD">
      <w:pPr>
        <w:widowControl w:val="0"/>
        <w:autoSpaceDE w:val="0"/>
        <w:autoSpaceDN w:val="0"/>
        <w:adjustRightInd w:val="0"/>
        <w:rPr>
          <w:szCs w:val="22"/>
        </w:rPr>
      </w:pPr>
      <w:r w:rsidRPr="00B03B37">
        <w:rPr>
          <w:szCs w:val="22"/>
        </w:rPr>
        <w:t>leaving early, then you are expected to inform the instructor. Students are expected to be in class, prepared to</w:t>
      </w:r>
    </w:p>
    <w:p w14:paraId="7B4F6567" w14:textId="77777777" w:rsidR="00E049FD" w:rsidRPr="00B03B37" w:rsidRDefault="00E049FD" w:rsidP="00E049FD">
      <w:pPr>
        <w:widowControl w:val="0"/>
        <w:autoSpaceDE w:val="0"/>
        <w:autoSpaceDN w:val="0"/>
        <w:adjustRightInd w:val="0"/>
        <w:rPr>
          <w:szCs w:val="22"/>
        </w:rPr>
      </w:pPr>
      <w:r w:rsidRPr="00B03B37">
        <w:rPr>
          <w:szCs w:val="22"/>
        </w:rPr>
        <w:t>learn, engaged, and overall contributors to the learning environment. Poor attendance will affect your participation</w:t>
      </w:r>
    </w:p>
    <w:p w14:paraId="2FF21CD6" w14:textId="77777777" w:rsidR="00E049FD" w:rsidRPr="00B03B37" w:rsidRDefault="00E049FD" w:rsidP="00E049FD">
      <w:pPr>
        <w:widowControl w:val="0"/>
        <w:autoSpaceDE w:val="0"/>
        <w:autoSpaceDN w:val="0"/>
        <w:adjustRightInd w:val="0"/>
        <w:rPr>
          <w:szCs w:val="22"/>
        </w:rPr>
      </w:pPr>
      <w:r w:rsidRPr="00B03B37">
        <w:rPr>
          <w:szCs w:val="22"/>
        </w:rPr>
        <w:t>grade.</w:t>
      </w:r>
    </w:p>
    <w:p w14:paraId="4D48718F" w14:textId="77777777" w:rsidR="00E049FD" w:rsidRPr="00B03B37" w:rsidRDefault="00E049FD" w:rsidP="00E049FD">
      <w:pPr>
        <w:widowControl w:val="0"/>
        <w:autoSpaceDE w:val="0"/>
        <w:autoSpaceDN w:val="0"/>
        <w:adjustRightInd w:val="0"/>
        <w:rPr>
          <w:szCs w:val="22"/>
        </w:rPr>
      </w:pPr>
    </w:p>
    <w:p w14:paraId="76491C13" w14:textId="77777777" w:rsidR="00E049FD" w:rsidRPr="00B03B37" w:rsidRDefault="00E049FD" w:rsidP="00E049FD">
      <w:pPr>
        <w:widowControl w:val="0"/>
        <w:autoSpaceDE w:val="0"/>
        <w:autoSpaceDN w:val="0"/>
        <w:adjustRightInd w:val="0"/>
        <w:rPr>
          <w:szCs w:val="22"/>
        </w:rPr>
      </w:pPr>
      <w:r w:rsidRPr="00B03B37">
        <w:rPr>
          <w:b/>
          <w:szCs w:val="22"/>
        </w:rPr>
        <w:t>Unless prior arrangements</w:t>
      </w:r>
      <w:r w:rsidRPr="00B03B37">
        <w:rPr>
          <w:szCs w:val="22"/>
        </w:rPr>
        <w:t xml:space="preserve"> have been made with the instructor, students will be deducted 15% per day for late</w:t>
      </w:r>
    </w:p>
    <w:p w14:paraId="6DC6F90A" w14:textId="77777777" w:rsidR="00E049FD" w:rsidRPr="00B03B37" w:rsidRDefault="00E049FD" w:rsidP="00E049FD">
      <w:pPr>
        <w:widowControl w:val="0"/>
        <w:autoSpaceDE w:val="0"/>
        <w:autoSpaceDN w:val="0"/>
        <w:adjustRightInd w:val="0"/>
        <w:rPr>
          <w:szCs w:val="22"/>
        </w:rPr>
      </w:pPr>
      <w:r w:rsidRPr="00B03B37">
        <w:rPr>
          <w:szCs w:val="22"/>
        </w:rPr>
        <w:t>coursework, with deductions occurring at the time associated with the due date. Unless prior arrangements have</w:t>
      </w:r>
    </w:p>
    <w:p w14:paraId="054CE375" w14:textId="77777777" w:rsidR="00E049FD" w:rsidRPr="00B03B37" w:rsidRDefault="00E049FD" w:rsidP="00E049FD">
      <w:pPr>
        <w:widowControl w:val="0"/>
        <w:autoSpaceDE w:val="0"/>
        <w:autoSpaceDN w:val="0"/>
        <w:adjustRightInd w:val="0"/>
        <w:rPr>
          <w:szCs w:val="22"/>
        </w:rPr>
      </w:pPr>
      <w:r w:rsidRPr="00B03B37">
        <w:rPr>
          <w:szCs w:val="22"/>
        </w:rPr>
        <w:t>been made with instructor, missed exams will receive a grade of 0pts.</w:t>
      </w:r>
    </w:p>
    <w:p w14:paraId="6F394ABF" w14:textId="77777777" w:rsidR="00E049FD" w:rsidRPr="00B03B37" w:rsidRDefault="00E049FD" w:rsidP="00E049FD">
      <w:pPr>
        <w:widowControl w:val="0"/>
        <w:autoSpaceDE w:val="0"/>
        <w:autoSpaceDN w:val="0"/>
        <w:adjustRightInd w:val="0"/>
        <w:rPr>
          <w:szCs w:val="22"/>
        </w:rPr>
      </w:pPr>
    </w:p>
    <w:p w14:paraId="71BEA57D" w14:textId="77777777" w:rsidR="00E049FD" w:rsidRPr="00B03B37" w:rsidRDefault="00E049FD" w:rsidP="00E049FD">
      <w:pPr>
        <w:widowControl w:val="0"/>
        <w:autoSpaceDE w:val="0"/>
        <w:autoSpaceDN w:val="0"/>
        <w:adjustRightInd w:val="0"/>
        <w:rPr>
          <w:szCs w:val="22"/>
        </w:rPr>
      </w:pPr>
      <w:r w:rsidRPr="00B03B37">
        <w:rPr>
          <w:szCs w:val="22"/>
        </w:rPr>
        <w:t>While students are encouraged to discuss course material and assignments together outside of class, it is expected</w:t>
      </w:r>
    </w:p>
    <w:p w14:paraId="617D4256" w14:textId="39DFB023" w:rsidR="00E049FD" w:rsidRPr="00B03B37" w:rsidRDefault="00E049FD" w:rsidP="00E049FD">
      <w:pPr>
        <w:rPr>
          <w:szCs w:val="22"/>
        </w:rPr>
      </w:pPr>
      <w:r w:rsidRPr="00B03B37">
        <w:rPr>
          <w:szCs w:val="22"/>
        </w:rPr>
        <w:t>that all coursework/assignments submitted is the students’ own work.</w:t>
      </w:r>
    </w:p>
    <w:p w14:paraId="1D66C6BE" w14:textId="77777777" w:rsidR="00E049FD" w:rsidRPr="00B03B37" w:rsidRDefault="00E049FD" w:rsidP="00820834">
      <w:pPr>
        <w:rPr>
          <w:szCs w:val="22"/>
        </w:rPr>
      </w:pPr>
    </w:p>
    <w:p w14:paraId="10017178" w14:textId="77777777" w:rsidR="006E7FC7" w:rsidRPr="00B03B37" w:rsidRDefault="006E7FC7" w:rsidP="00820834">
      <w:pPr>
        <w:rPr>
          <w:b/>
          <w:i/>
          <w:szCs w:val="22"/>
        </w:rPr>
      </w:pPr>
      <w:r w:rsidRPr="00B03B37">
        <w:rPr>
          <w:b/>
          <w:i/>
          <w:szCs w:val="22"/>
        </w:rPr>
        <w:t>Evaluation of Grades</w:t>
      </w:r>
    </w:p>
    <w:tbl>
      <w:tblPr>
        <w:tblStyle w:val="TableGrid"/>
        <w:tblW w:w="0" w:type="auto"/>
        <w:tblLook w:val="04A0" w:firstRow="1" w:lastRow="0" w:firstColumn="1" w:lastColumn="0" w:noHBand="0" w:noVBand="1"/>
      </w:tblPr>
      <w:tblGrid>
        <w:gridCol w:w="2425"/>
        <w:gridCol w:w="1530"/>
        <w:gridCol w:w="2970"/>
      </w:tblGrid>
      <w:tr w:rsidR="006E7FC7" w:rsidRPr="00B03B37" w14:paraId="086AA3D4" w14:textId="77777777" w:rsidTr="006E7FC7">
        <w:tc>
          <w:tcPr>
            <w:tcW w:w="2425" w:type="dxa"/>
          </w:tcPr>
          <w:p w14:paraId="226ACC42" w14:textId="77777777" w:rsidR="006E7FC7" w:rsidRPr="00B03B37" w:rsidRDefault="006E7FC7" w:rsidP="00820834">
            <w:pPr>
              <w:rPr>
                <w:b/>
                <w:szCs w:val="22"/>
              </w:rPr>
            </w:pPr>
            <w:r w:rsidRPr="00B03B37">
              <w:rPr>
                <w:b/>
                <w:szCs w:val="22"/>
              </w:rPr>
              <w:t>Assignment</w:t>
            </w:r>
          </w:p>
        </w:tc>
        <w:tc>
          <w:tcPr>
            <w:tcW w:w="1530" w:type="dxa"/>
          </w:tcPr>
          <w:p w14:paraId="762AB446" w14:textId="77777777" w:rsidR="006E7FC7" w:rsidRPr="00B03B37" w:rsidRDefault="006E7FC7" w:rsidP="006E7FC7">
            <w:pPr>
              <w:jc w:val="center"/>
              <w:rPr>
                <w:b/>
                <w:szCs w:val="22"/>
              </w:rPr>
            </w:pPr>
            <w:r w:rsidRPr="00B03B37">
              <w:rPr>
                <w:b/>
                <w:szCs w:val="22"/>
              </w:rPr>
              <w:t>Total Points</w:t>
            </w:r>
          </w:p>
        </w:tc>
        <w:tc>
          <w:tcPr>
            <w:tcW w:w="2970" w:type="dxa"/>
          </w:tcPr>
          <w:p w14:paraId="5F52D963" w14:textId="77777777" w:rsidR="006E7FC7" w:rsidRPr="00B03B37" w:rsidRDefault="006E7FC7" w:rsidP="006E7FC7">
            <w:pPr>
              <w:jc w:val="center"/>
              <w:rPr>
                <w:b/>
                <w:szCs w:val="22"/>
              </w:rPr>
            </w:pPr>
            <w:r w:rsidRPr="00B03B37">
              <w:rPr>
                <w:b/>
                <w:szCs w:val="22"/>
              </w:rPr>
              <w:t>Percentage of Final Grade</w:t>
            </w:r>
          </w:p>
        </w:tc>
      </w:tr>
      <w:tr w:rsidR="006E7FC7" w:rsidRPr="00B03B37" w14:paraId="6398C783" w14:textId="77777777" w:rsidTr="006E7FC7">
        <w:tc>
          <w:tcPr>
            <w:tcW w:w="2425" w:type="dxa"/>
          </w:tcPr>
          <w:p w14:paraId="7E1BAEF7" w14:textId="60E8BA31" w:rsidR="006E7FC7" w:rsidRPr="00B03B37" w:rsidRDefault="00DD77E0" w:rsidP="00820834">
            <w:pPr>
              <w:rPr>
                <w:szCs w:val="22"/>
              </w:rPr>
            </w:pPr>
            <w:r w:rsidRPr="00B03B37">
              <w:rPr>
                <w:szCs w:val="22"/>
              </w:rPr>
              <w:t xml:space="preserve">Homework Sets </w:t>
            </w:r>
          </w:p>
        </w:tc>
        <w:tc>
          <w:tcPr>
            <w:tcW w:w="1530" w:type="dxa"/>
          </w:tcPr>
          <w:p w14:paraId="0714275B" w14:textId="432E5646" w:rsidR="006E7FC7" w:rsidRPr="00B03B37" w:rsidRDefault="003C673D" w:rsidP="006E7FC7">
            <w:pPr>
              <w:jc w:val="center"/>
              <w:rPr>
                <w:szCs w:val="22"/>
              </w:rPr>
            </w:pPr>
            <w:r>
              <w:rPr>
                <w:szCs w:val="22"/>
              </w:rPr>
              <w:t>50-</w:t>
            </w:r>
            <w:r w:rsidR="00C252CA">
              <w:rPr>
                <w:szCs w:val="22"/>
              </w:rPr>
              <w:t>100</w:t>
            </w:r>
            <w:r w:rsidR="006E7FC7" w:rsidRPr="00B03B37">
              <w:rPr>
                <w:szCs w:val="22"/>
              </w:rPr>
              <w:t xml:space="preserve"> each</w:t>
            </w:r>
          </w:p>
        </w:tc>
        <w:tc>
          <w:tcPr>
            <w:tcW w:w="2970" w:type="dxa"/>
          </w:tcPr>
          <w:p w14:paraId="2B3677A5" w14:textId="2545AFED" w:rsidR="006E7FC7" w:rsidRPr="00B03B37" w:rsidRDefault="006E7FC7" w:rsidP="006E7FC7">
            <w:pPr>
              <w:jc w:val="center"/>
              <w:rPr>
                <w:szCs w:val="22"/>
              </w:rPr>
            </w:pPr>
            <w:r w:rsidRPr="00B03B37">
              <w:rPr>
                <w:szCs w:val="22"/>
              </w:rPr>
              <w:t>1</w:t>
            </w:r>
            <w:r w:rsidR="00E55913">
              <w:rPr>
                <w:szCs w:val="22"/>
              </w:rPr>
              <w:t>5</w:t>
            </w:r>
            <w:r w:rsidRPr="00B03B37">
              <w:rPr>
                <w:szCs w:val="22"/>
              </w:rPr>
              <w:t>%</w:t>
            </w:r>
          </w:p>
        </w:tc>
      </w:tr>
      <w:tr w:rsidR="00C252CA" w:rsidRPr="00B03B37" w14:paraId="24848FCF" w14:textId="77777777" w:rsidTr="006E7FC7">
        <w:tc>
          <w:tcPr>
            <w:tcW w:w="2425" w:type="dxa"/>
          </w:tcPr>
          <w:p w14:paraId="10355E06" w14:textId="29378D2F" w:rsidR="00C252CA" w:rsidRPr="00B03B37" w:rsidRDefault="00C252CA" w:rsidP="00820834">
            <w:pPr>
              <w:rPr>
                <w:szCs w:val="22"/>
              </w:rPr>
            </w:pPr>
            <w:r>
              <w:rPr>
                <w:szCs w:val="22"/>
              </w:rPr>
              <w:t xml:space="preserve">Quizzes </w:t>
            </w:r>
          </w:p>
        </w:tc>
        <w:tc>
          <w:tcPr>
            <w:tcW w:w="1530" w:type="dxa"/>
          </w:tcPr>
          <w:p w14:paraId="6A64B769" w14:textId="150E7C96" w:rsidR="00C252CA" w:rsidRPr="00B03B37" w:rsidRDefault="003E6140" w:rsidP="006E7FC7">
            <w:pPr>
              <w:jc w:val="center"/>
              <w:rPr>
                <w:szCs w:val="22"/>
              </w:rPr>
            </w:pPr>
            <w:r>
              <w:rPr>
                <w:szCs w:val="22"/>
              </w:rPr>
              <w:t>15-</w:t>
            </w:r>
            <w:r w:rsidR="00C252CA">
              <w:rPr>
                <w:szCs w:val="22"/>
              </w:rPr>
              <w:t>30 each</w:t>
            </w:r>
          </w:p>
        </w:tc>
        <w:tc>
          <w:tcPr>
            <w:tcW w:w="2970" w:type="dxa"/>
          </w:tcPr>
          <w:p w14:paraId="34DD2FEE" w14:textId="44FE24F9" w:rsidR="00C252CA" w:rsidRPr="00B03B37" w:rsidRDefault="00C252CA" w:rsidP="006E7FC7">
            <w:pPr>
              <w:jc w:val="center"/>
              <w:rPr>
                <w:szCs w:val="22"/>
              </w:rPr>
            </w:pPr>
            <w:r>
              <w:rPr>
                <w:szCs w:val="22"/>
              </w:rPr>
              <w:t>10</w:t>
            </w:r>
            <w:r w:rsidRPr="00B03B37">
              <w:rPr>
                <w:szCs w:val="22"/>
              </w:rPr>
              <w:t>%</w:t>
            </w:r>
          </w:p>
        </w:tc>
      </w:tr>
      <w:tr w:rsidR="006E7FC7" w:rsidRPr="00B03B37" w14:paraId="6555FD2F" w14:textId="77777777" w:rsidTr="006E7FC7">
        <w:tc>
          <w:tcPr>
            <w:tcW w:w="2425" w:type="dxa"/>
          </w:tcPr>
          <w:p w14:paraId="772ACCDF" w14:textId="0195BAE2" w:rsidR="006E7FC7" w:rsidRPr="00B03B37" w:rsidRDefault="00E049FD" w:rsidP="00820834">
            <w:pPr>
              <w:rPr>
                <w:szCs w:val="22"/>
              </w:rPr>
            </w:pPr>
            <w:r w:rsidRPr="00B03B37">
              <w:rPr>
                <w:szCs w:val="22"/>
              </w:rPr>
              <w:t>Midterm Exam</w:t>
            </w:r>
          </w:p>
        </w:tc>
        <w:tc>
          <w:tcPr>
            <w:tcW w:w="1530" w:type="dxa"/>
          </w:tcPr>
          <w:p w14:paraId="40027083" w14:textId="77777777" w:rsidR="006E7FC7" w:rsidRPr="00B03B37" w:rsidRDefault="006E7FC7" w:rsidP="006E7FC7">
            <w:pPr>
              <w:jc w:val="center"/>
              <w:rPr>
                <w:szCs w:val="22"/>
              </w:rPr>
            </w:pPr>
            <w:r w:rsidRPr="00B03B37">
              <w:rPr>
                <w:szCs w:val="22"/>
              </w:rPr>
              <w:t>100 each</w:t>
            </w:r>
          </w:p>
        </w:tc>
        <w:tc>
          <w:tcPr>
            <w:tcW w:w="2970" w:type="dxa"/>
          </w:tcPr>
          <w:p w14:paraId="38A321D7" w14:textId="3C149F53" w:rsidR="006E7FC7" w:rsidRPr="00B03B37" w:rsidRDefault="00E049FD" w:rsidP="006E7FC7">
            <w:pPr>
              <w:jc w:val="center"/>
              <w:rPr>
                <w:szCs w:val="22"/>
              </w:rPr>
            </w:pPr>
            <w:r w:rsidRPr="00B03B37">
              <w:rPr>
                <w:szCs w:val="22"/>
              </w:rPr>
              <w:t>20</w:t>
            </w:r>
            <w:r w:rsidR="006E7FC7" w:rsidRPr="00B03B37">
              <w:rPr>
                <w:szCs w:val="22"/>
              </w:rPr>
              <w:t>%</w:t>
            </w:r>
          </w:p>
        </w:tc>
      </w:tr>
      <w:tr w:rsidR="006E7FC7" w:rsidRPr="00B03B37" w14:paraId="5FF27DD1" w14:textId="77777777" w:rsidTr="006E7FC7">
        <w:tc>
          <w:tcPr>
            <w:tcW w:w="2425" w:type="dxa"/>
          </w:tcPr>
          <w:p w14:paraId="2EDEEA3D" w14:textId="7E30FA1B" w:rsidR="006E7FC7" w:rsidRPr="00B03B37" w:rsidRDefault="00E049FD" w:rsidP="00820834">
            <w:pPr>
              <w:rPr>
                <w:szCs w:val="22"/>
              </w:rPr>
            </w:pPr>
            <w:r w:rsidRPr="00B03B37">
              <w:rPr>
                <w:szCs w:val="22"/>
              </w:rPr>
              <w:t>Final Exam</w:t>
            </w:r>
          </w:p>
        </w:tc>
        <w:tc>
          <w:tcPr>
            <w:tcW w:w="1530" w:type="dxa"/>
          </w:tcPr>
          <w:p w14:paraId="38CCEACC" w14:textId="77777777" w:rsidR="006E7FC7" w:rsidRPr="00B03B37" w:rsidRDefault="006E7FC7" w:rsidP="006E7FC7">
            <w:pPr>
              <w:jc w:val="center"/>
              <w:rPr>
                <w:szCs w:val="22"/>
              </w:rPr>
            </w:pPr>
            <w:r w:rsidRPr="00B03B37">
              <w:rPr>
                <w:szCs w:val="22"/>
              </w:rPr>
              <w:t>100</w:t>
            </w:r>
          </w:p>
        </w:tc>
        <w:tc>
          <w:tcPr>
            <w:tcW w:w="2970" w:type="dxa"/>
          </w:tcPr>
          <w:p w14:paraId="28585646" w14:textId="28AC715C" w:rsidR="006E7FC7" w:rsidRPr="00B03B37" w:rsidRDefault="00E55913" w:rsidP="006E7FC7">
            <w:pPr>
              <w:jc w:val="center"/>
              <w:rPr>
                <w:szCs w:val="22"/>
              </w:rPr>
            </w:pPr>
            <w:r>
              <w:rPr>
                <w:szCs w:val="22"/>
              </w:rPr>
              <w:t>30</w:t>
            </w:r>
            <w:r w:rsidR="006E7FC7" w:rsidRPr="00B03B37">
              <w:rPr>
                <w:szCs w:val="22"/>
              </w:rPr>
              <w:t>%</w:t>
            </w:r>
          </w:p>
        </w:tc>
      </w:tr>
      <w:tr w:rsidR="006E7FC7" w:rsidRPr="00B03B37" w14:paraId="37E79C89" w14:textId="77777777" w:rsidTr="006E7FC7">
        <w:tc>
          <w:tcPr>
            <w:tcW w:w="2425" w:type="dxa"/>
          </w:tcPr>
          <w:p w14:paraId="74D19237" w14:textId="3B114D7C" w:rsidR="006E7FC7" w:rsidRPr="00B03B37" w:rsidRDefault="007D4B6B" w:rsidP="00820834">
            <w:pPr>
              <w:rPr>
                <w:szCs w:val="22"/>
              </w:rPr>
            </w:pPr>
            <w:r>
              <w:rPr>
                <w:szCs w:val="22"/>
              </w:rPr>
              <w:lastRenderedPageBreak/>
              <w:t>Term</w:t>
            </w:r>
            <w:r w:rsidR="00E049FD" w:rsidRPr="00B03B37">
              <w:rPr>
                <w:szCs w:val="22"/>
              </w:rPr>
              <w:t xml:space="preserve"> Project </w:t>
            </w:r>
          </w:p>
        </w:tc>
        <w:tc>
          <w:tcPr>
            <w:tcW w:w="1530" w:type="dxa"/>
          </w:tcPr>
          <w:p w14:paraId="26E33946" w14:textId="77777777" w:rsidR="006E7FC7" w:rsidRPr="00B03B37" w:rsidRDefault="006E7FC7" w:rsidP="006E7FC7">
            <w:pPr>
              <w:jc w:val="center"/>
              <w:rPr>
                <w:szCs w:val="22"/>
              </w:rPr>
            </w:pPr>
            <w:r w:rsidRPr="00B03B37">
              <w:rPr>
                <w:szCs w:val="22"/>
              </w:rPr>
              <w:t>100</w:t>
            </w:r>
          </w:p>
        </w:tc>
        <w:tc>
          <w:tcPr>
            <w:tcW w:w="2970" w:type="dxa"/>
          </w:tcPr>
          <w:p w14:paraId="7618FE7B" w14:textId="182B210E" w:rsidR="006E7FC7" w:rsidRPr="00B03B37" w:rsidRDefault="00E049FD" w:rsidP="006E7FC7">
            <w:pPr>
              <w:jc w:val="center"/>
              <w:rPr>
                <w:szCs w:val="22"/>
              </w:rPr>
            </w:pPr>
            <w:r w:rsidRPr="00B03B37">
              <w:rPr>
                <w:szCs w:val="22"/>
              </w:rPr>
              <w:t>15</w:t>
            </w:r>
            <w:r w:rsidR="006E7FC7" w:rsidRPr="00B03B37">
              <w:rPr>
                <w:szCs w:val="22"/>
              </w:rPr>
              <w:t>%</w:t>
            </w:r>
          </w:p>
        </w:tc>
      </w:tr>
      <w:tr w:rsidR="006E7FC7" w:rsidRPr="00B03B37" w14:paraId="708D8680" w14:textId="77777777" w:rsidTr="006E7FC7">
        <w:tc>
          <w:tcPr>
            <w:tcW w:w="2425" w:type="dxa"/>
          </w:tcPr>
          <w:p w14:paraId="4B6D0451" w14:textId="38E2A398" w:rsidR="006E7FC7" w:rsidRPr="00B03B37" w:rsidRDefault="00E049FD" w:rsidP="00820834">
            <w:pPr>
              <w:rPr>
                <w:szCs w:val="22"/>
              </w:rPr>
            </w:pPr>
            <w:r w:rsidRPr="00B03B37">
              <w:rPr>
                <w:szCs w:val="22"/>
              </w:rPr>
              <w:t xml:space="preserve">Participation </w:t>
            </w:r>
          </w:p>
        </w:tc>
        <w:tc>
          <w:tcPr>
            <w:tcW w:w="1530" w:type="dxa"/>
          </w:tcPr>
          <w:p w14:paraId="304B7B62" w14:textId="77777777" w:rsidR="006E7FC7" w:rsidRPr="00B03B37" w:rsidRDefault="006E7FC7" w:rsidP="006E7FC7">
            <w:pPr>
              <w:jc w:val="center"/>
              <w:rPr>
                <w:szCs w:val="22"/>
              </w:rPr>
            </w:pPr>
            <w:r w:rsidRPr="00B03B37">
              <w:rPr>
                <w:szCs w:val="22"/>
              </w:rPr>
              <w:t>100</w:t>
            </w:r>
          </w:p>
        </w:tc>
        <w:tc>
          <w:tcPr>
            <w:tcW w:w="2970" w:type="dxa"/>
          </w:tcPr>
          <w:p w14:paraId="5AC91DEA" w14:textId="77777777" w:rsidR="006E7FC7" w:rsidRPr="00B03B37" w:rsidRDefault="006E7FC7" w:rsidP="006E7FC7">
            <w:pPr>
              <w:jc w:val="center"/>
              <w:rPr>
                <w:szCs w:val="22"/>
              </w:rPr>
            </w:pPr>
            <w:r w:rsidRPr="00B03B37">
              <w:rPr>
                <w:szCs w:val="22"/>
              </w:rPr>
              <w:t>10%</w:t>
            </w:r>
          </w:p>
        </w:tc>
      </w:tr>
      <w:tr w:rsidR="006E7FC7" w:rsidRPr="00B03B37" w14:paraId="385E30FE" w14:textId="77777777" w:rsidTr="00C009AB">
        <w:trPr>
          <w:trHeight w:val="251"/>
        </w:trPr>
        <w:tc>
          <w:tcPr>
            <w:tcW w:w="2425" w:type="dxa"/>
          </w:tcPr>
          <w:p w14:paraId="006DDD4E" w14:textId="77777777" w:rsidR="006E7FC7" w:rsidRPr="00B03B37" w:rsidRDefault="006E7FC7" w:rsidP="00820834">
            <w:pPr>
              <w:rPr>
                <w:szCs w:val="22"/>
              </w:rPr>
            </w:pPr>
          </w:p>
        </w:tc>
        <w:tc>
          <w:tcPr>
            <w:tcW w:w="1530" w:type="dxa"/>
          </w:tcPr>
          <w:p w14:paraId="11CFB61B" w14:textId="77777777" w:rsidR="006E7FC7" w:rsidRPr="00B03B37" w:rsidRDefault="006E7FC7" w:rsidP="006E7FC7">
            <w:pPr>
              <w:jc w:val="center"/>
              <w:rPr>
                <w:szCs w:val="22"/>
              </w:rPr>
            </w:pPr>
          </w:p>
        </w:tc>
        <w:tc>
          <w:tcPr>
            <w:tcW w:w="2970" w:type="dxa"/>
          </w:tcPr>
          <w:p w14:paraId="0DC42222" w14:textId="77777777" w:rsidR="006E7FC7" w:rsidRPr="00B03B37" w:rsidRDefault="006E7FC7" w:rsidP="006E7FC7">
            <w:pPr>
              <w:jc w:val="center"/>
              <w:rPr>
                <w:szCs w:val="22"/>
              </w:rPr>
            </w:pPr>
            <w:r w:rsidRPr="00B03B37">
              <w:rPr>
                <w:szCs w:val="22"/>
              </w:rPr>
              <w:t>100%</w:t>
            </w:r>
          </w:p>
        </w:tc>
      </w:tr>
    </w:tbl>
    <w:p w14:paraId="152CB40E" w14:textId="77777777" w:rsidR="004812A7" w:rsidRPr="00B03B37" w:rsidRDefault="004812A7" w:rsidP="00820834">
      <w:pPr>
        <w:rPr>
          <w:b/>
          <w:szCs w:val="22"/>
        </w:rPr>
      </w:pPr>
    </w:p>
    <w:p w14:paraId="25D5660A" w14:textId="77777777" w:rsidR="006E7FC7" w:rsidRPr="00B03B37" w:rsidRDefault="006E7FC7" w:rsidP="00820834">
      <w:pPr>
        <w:rPr>
          <w:b/>
          <w:i/>
          <w:szCs w:val="22"/>
        </w:rPr>
      </w:pPr>
      <w:r w:rsidRPr="00B03B37">
        <w:rPr>
          <w:b/>
          <w:i/>
          <w:szCs w:val="22"/>
        </w:rPr>
        <w:t>Grading Policy</w:t>
      </w:r>
    </w:p>
    <w:p w14:paraId="7ED6B1A1" w14:textId="77777777" w:rsidR="00FB6F04" w:rsidRPr="00B03B37" w:rsidRDefault="00FB6F04" w:rsidP="00FB6F04">
      <w:pPr>
        <w:rPr>
          <w:szCs w:val="22"/>
        </w:rPr>
      </w:pPr>
      <w:r w:rsidRPr="00B03B37">
        <w:rPr>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DD0E35" w:rsidRPr="00B03B37" w14:paraId="65F8D0F6" w14:textId="77777777" w:rsidTr="00DD0E35">
        <w:trPr>
          <w:trHeight w:val="98"/>
        </w:trPr>
        <w:tc>
          <w:tcPr>
            <w:tcW w:w="1350" w:type="dxa"/>
          </w:tcPr>
          <w:p w14:paraId="06B846F5"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Percent </w:t>
            </w:r>
          </w:p>
        </w:tc>
        <w:tc>
          <w:tcPr>
            <w:tcW w:w="990" w:type="dxa"/>
          </w:tcPr>
          <w:p w14:paraId="6686D6C1"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Grade </w:t>
            </w:r>
          </w:p>
        </w:tc>
        <w:tc>
          <w:tcPr>
            <w:tcW w:w="1170" w:type="dxa"/>
          </w:tcPr>
          <w:p w14:paraId="5DE99B54" w14:textId="77777777" w:rsidR="00DD0E35" w:rsidRPr="00B03B37" w:rsidRDefault="00DD0E35">
            <w:pPr>
              <w:pStyle w:val="Default"/>
              <w:rPr>
                <w:rFonts w:ascii="Cambria" w:hAnsi="Cambria"/>
                <w:color w:val="auto"/>
                <w:sz w:val="22"/>
                <w:szCs w:val="22"/>
              </w:rPr>
            </w:pPr>
            <w:r w:rsidRPr="00B03B37">
              <w:rPr>
                <w:rFonts w:ascii="Cambria" w:hAnsi="Cambria"/>
                <w:b/>
                <w:bCs/>
                <w:color w:val="auto"/>
                <w:sz w:val="22"/>
                <w:szCs w:val="22"/>
              </w:rPr>
              <w:t xml:space="preserve">Grade Points </w:t>
            </w:r>
          </w:p>
        </w:tc>
      </w:tr>
      <w:tr w:rsidR="00DD0E35" w:rsidRPr="00B03B37" w14:paraId="2BEBD8B5" w14:textId="77777777" w:rsidTr="00DD0E35">
        <w:trPr>
          <w:trHeight w:val="100"/>
        </w:trPr>
        <w:tc>
          <w:tcPr>
            <w:tcW w:w="1350" w:type="dxa"/>
          </w:tcPr>
          <w:p w14:paraId="15755957" w14:textId="4A6842DE" w:rsidR="00DD0E35" w:rsidRPr="00B03B37" w:rsidRDefault="00454470">
            <w:pPr>
              <w:pStyle w:val="Default"/>
              <w:rPr>
                <w:rFonts w:ascii="Cambria" w:hAnsi="Cambria"/>
                <w:color w:val="auto"/>
                <w:sz w:val="22"/>
                <w:szCs w:val="22"/>
              </w:rPr>
            </w:pPr>
            <w:r>
              <w:rPr>
                <w:rFonts w:ascii="Cambria" w:hAnsi="Cambria"/>
                <w:color w:val="auto"/>
                <w:sz w:val="22"/>
                <w:szCs w:val="22"/>
              </w:rPr>
              <w:t>90</w:t>
            </w:r>
            <w:r w:rsidR="00E049FD" w:rsidRPr="00B03B37">
              <w:rPr>
                <w:rFonts w:ascii="Cambria" w:hAnsi="Cambria"/>
                <w:color w:val="auto"/>
                <w:sz w:val="22"/>
                <w:szCs w:val="22"/>
              </w:rPr>
              <w:t>.0</w:t>
            </w:r>
            <w:r w:rsidR="00DD0E35" w:rsidRPr="00B03B37">
              <w:rPr>
                <w:rFonts w:ascii="Cambria" w:hAnsi="Cambria"/>
                <w:color w:val="auto"/>
                <w:sz w:val="22"/>
                <w:szCs w:val="22"/>
              </w:rPr>
              <w:t xml:space="preserve"> - 100 </w:t>
            </w:r>
          </w:p>
        </w:tc>
        <w:tc>
          <w:tcPr>
            <w:tcW w:w="990" w:type="dxa"/>
          </w:tcPr>
          <w:p w14:paraId="51F12EA1"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A </w:t>
            </w:r>
          </w:p>
        </w:tc>
        <w:tc>
          <w:tcPr>
            <w:tcW w:w="1170" w:type="dxa"/>
          </w:tcPr>
          <w:p w14:paraId="2C96B007"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4.00 </w:t>
            </w:r>
          </w:p>
        </w:tc>
      </w:tr>
      <w:tr w:rsidR="00DD0E35" w:rsidRPr="00B03B37" w14:paraId="59D9D725" w14:textId="77777777" w:rsidTr="00DD0E35">
        <w:trPr>
          <w:trHeight w:val="100"/>
        </w:trPr>
        <w:tc>
          <w:tcPr>
            <w:tcW w:w="1350" w:type="dxa"/>
          </w:tcPr>
          <w:p w14:paraId="11E55B44" w14:textId="2F483493" w:rsidR="00DD0E35" w:rsidRPr="00B03B37" w:rsidRDefault="00454470">
            <w:pPr>
              <w:pStyle w:val="Default"/>
              <w:rPr>
                <w:rFonts w:ascii="Cambria" w:hAnsi="Cambria"/>
                <w:color w:val="auto"/>
                <w:sz w:val="22"/>
                <w:szCs w:val="22"/>
              </w:rPr>
            </w:pPr>
            <w:r>
              <w:rPr>
                <w:rFonts w:ascii="Cambria" w:hAnsi="Cambria"/>
                <w:color w:val="auto"/>
                <w:sz w:val="22"/>
                <w:szCs w:val="22"/>
              </w:rPr>
              <w:t>87.0 - 89</w:t>
            </w:r>
            <w:r w:rsidR="00E049FD" w:rsidRPr="00B03B37">
              <w:rPr>
                <w:rFonts w:ascii="Cambria" w:hAnsi="Cambria"/>
                <w:color w:val="auto"/>
                <w:sz w:val="22"/>
                <w:szCs w:val="22"/>
              </w:rPr>
              <w:t>.9</w:t>
            </w:r>
            <w:r w:rsidR="00DD0E35" w:rsidRPr="00B03B37">
              <w:rPr>
                <w:rFonts w:ascii="Cambria" w:hAnsi="Cambria"/>
                <w:color w:val="auto"/>
                <w:sz w:val="22"/>
                <w:szCs w:val="22"/>
              </w:rPr>
              <w:t xml:space="preserve"> </w:t>
            </w:r>
          </w:p>
        </w:tc>
        <w:tc>
          <w:tcPr>
            <w:tcW w:w="990" w:type="dxa"/>
          </w:tcPr>
          <w:p w14:paraId="26EB0C6E"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A- </w:t>
            </w:r>
          </w:p>
        </w:tc>
        <w:tc>
          <w:tcPr>
            <w:tcW w:w="1170" w:type="dxa"/>
          </w:tcPr>
          <w:p w14:paraId="2248B1C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3.67 </w:t>
            </w:r>
          </w:p>
        </w:tc>
      </w:tr>
      <w:tr w:rsidR="00DD0E35" w:rsidRPr="00B03B37" w14:paraId="63911BDD" w14:textId="77777777" w:rsidTr="00DD0E35">
        <w:trPr>
          <w:trHeight w:val="100"/>
        </w:trPr>
        <w:tc>
          <w:tcPr>
            <w:tcW w:w="1350" w:type="dxa"/>
          </w:tcPr>
          <w:p w14:paraId="151F7FD5" w14:textId="046F57DD" w:rsidR="00DD0E35" w:rsidRPr="00B03B37" w:rsidRDefault="00454470">
            <w:pPr>
              <w:pStyle w:val="Default"/>
              <w:rPr>
                <w:rFonts w:ascii="Cambria" w:hAnsi="Cambria"/>
                <w:color w:val="auto"/>
                <w:sz w:val="22"/>
                <w:szCs w:val="22"/>
              </w:rPr>
            </w:pPr>
            <w:r>
              <w:rPr>
                <w:rFonts w:ascii="Cambria" w:hAnsi="Cambria"/>
                <w:color w:val="auto"/>
                <w:sz w:val="22"/>
                <w:szCs w:val="22"/>
              </w:rPr>
              <w:t>84.0 - 86</w:t>
            </w:r>
            <w:r w:rsidR="00DD0E35" w:rsidRPr="00B03B37">
              <w:rPr>
                <w:rFonts w:ascii="Cambria" w:hAnsi="Cambria"/>
                <w:color w:val="auto"/>
                <w:sz w:val="22"/>
                <w:szCs w:val="22"/>
              </w:rPr>
              <w:t xml:space="preserve">.9 </w:t>
            </w:r>
          </w:p>
        </w:tc>
        <w:tc>
          <w:tcPr>
            <w:tcW w:w="990" w:type="dxa"/>
          </w:tcPr>
          <w:p w14:paraId="7477DC9A"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3556F21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3.33 </w:t>
            </w:r>
          </w:p>
        </w:tc>
      </w:tr>
      <w:tr w:rsidR="00DD0E35" w:rsidRPr="00B03B37" w14:paraId="3E5EB525" w14:textId="77777777" w:rsidTr="00DD0E35">
        <w:trPr>
          <w:trHeight w:val="100"/>
        </w:trPr>
        <w:tc>
          <w:tcPr>
            <w:tcW w:w="1350" w:type="dxa"/>
          </w:tcPr>
          <w:p w14:paraId="50E6D523" w14:textId="4A59524D" w:rsidR="00DD0E35" w:rsidRPr="00B03B37" w:rsidRDefault="00454470">
            <w:pPr>
              <w:pStyle w:val="Default"/>
              <w:rPr>
                <w:rFonts w:ascii="Cambria" w:hAnsi="Cambria"/>
                <w:color w:val="auto"/>
                <w:sz w:val="22"/>
                <w:szCs w:val="22"/>
              </w:rPr>
            </w:pPr>
            <w:r>
              <w:rPr>
                <w:rFonts w:ascii="Cambria" w:hAnsi="Cambria"/>
                <w:color w:val="auto"/>
                <w:sz w:val="22"/>
                <w:szCs w:val="22"/>
              </w:rPr>
              <w:t>81.0 - 83.9</w:t>
            </w:r>
            <w:r w:rsidR="00DD0E35" w:rsidRPr="00B03B37">
              <w:rPr>
                <w:rFonts w:ascii="Cambria" w:hAnsi="Cambria"/>
                <w:color w:val="auto"/>
                <w:sz w:val="22"/>
                <w:szCs w:val="22"/>
              </w:rPr>
              <w:t xml:space="preserve"> </w:t>
            </w:r>
          </w:p>
        </w:tc>
        <w:tc>
          <w:tcPr>
            <w:tcW w:w="990" w:type="dxa"/>
          </w:tcPr>
          <w:p w14:paraId="428B701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7A58DE8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3.00 </w:t>
            </w:r>
          </w:p>
        </w:tc>
      </w:tr>
      <w:tr w:rsidR="00DD0E35" w:rsidRPr="00B03B37" w14:paraId="3C1103DB" w14:textId="77777777" w:rsidTr="00DD0E35">
        <w:trPr>
          <w:trHeight w:val="100"/>
        </w:trPr>
        <w:tc>
          <w:tcPr>
            <w:tcW w:w="1350" w:type="dxa"/>
          </w:tcPr>
          <w:p w14:paraId="525811E6" w14:textId="45FE1E0C" w:rsidR="00DD0E35" w:rsidRPr="00B03B37" w:rsidRDefault="00454470">
            <w:pPr>
              <w:pStyle w:val="Default"/>
              <w:rPr>
                <w:rFonts w:ascii="Cambria" w:hAnsi="Cambria"/>
                <w:color w:val="auto"/>
                <w:sz w:val="22"/>
                <w:szCs w:val="22"/>
              </w:rPr>
            </w:pPr>
            <w:r>
              <w:rPr>
                <w:rFonts w:ascii="Cambria" w:hAnsi="Cambria"/>
                <w:color w:val="auto"/>
                <w:sz w:val="22"/>
                <w:szCs w:val="22"/>
              </w:rPr>
              <w:t>78.0 - 80.9</w:t>
            </w:r>
            <w:r w:rsidR="00DD0E35" w:rsidRPr="00B03B37">
              <w:rPr>
                <w:rFonts w:ascii="Cambria" w:hAnsi="Cambria"/>
                <w:color w:val="auto"/>
                <w:sz w:val="22"/>
                <w:szCs w:val="22"/>
              </w:rPr>
              <w:t xml:space="preserve"> </w:t>
            </w:r>
          </w:p>
        </w:tc>
        <w:tc>
          <w:tcPr>
            <w:tcW w:w="990" w:type="dxa"/>
          </w:tcPr>
          <w:p w14:paraId="17B38D02"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B- </w:t>
            </w:r>
          </w:p>
        </w:tc>
        <w:tc>
          <w:tcPr>
            <w:tcW w:w="1170" w:type="dxa"/>
          </w:tcPr>
          <w:p w14:paraId="5E354125"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2.67 </w:t>
            </w:r>
          </w:p>
        </w:tc>
      </w:tr>
      <w:tr w:rsidR="00DD0E35" w:rsidRPr="00B03B37" w14:paraId="3A598DF8" w14:textId="77777777" w:rsidTr="00DD0E35">
        <w:trPr>
          <w:trHeight w:val="100"/>
        </w:trPr>
        <w:tc>
          <w:tcPr>
            <w:tcW w:w="1350" w:type="dxa"/>
          </w:tcPr>
          <w:p w14:paraId="73CDB31C" w14:textId="7BC2F985" w:rsidR="00DD0E35" w:rsidRPr="00B03B37" w:rsidRDefault="00454470">
            <w:pPr>
              <w:pStyle w:val="Default"/>
              <w:rPr>
                <w:rFonts w:ascii="Cambria" w:hAnsi="Cambria"/>
                <w:color w:val="auto"/>
                <w:sz w:val="22"/>
                <w:szCs w:val="22"/>
              </w:rPr>
            </w:pPr>
            <w:r>
              <w:rPr>
                <w:rFonts w:ascii="Cambria" w:hAnsi="Cambria"/>
                <w:color w:val="auto"/>
                <w:sz w:val="22"/>
                <w:szCs w:val="22"/>
              </w:rPr>
              <w:t>75.0</w:t>
            </w:r>
            <w:r w:rsidR="00DD0E35" w:rsidRPr="00B03B37">
              <w:rPr>
                <w:rFonts w:ascii="Cambria" w:hAnsi="Cambria"/>
                <w:color w:val="auto"/>
                <w:sz w:val="22"/>
                <w:szCs w:val="22"/>
              </w:rPr>
              <w:t xml:space="preserve"> - 79.9 </w:t>
            </w:r>
          </w:p>
        </w:tc>
        <w:tc>
          <w:tcPr>
            <w:tcW w:w="990" w:type="dxa"/>
          </w:tcPr>
          <w:p w14:paraId="355D2F1C"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52E51B6A"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2.33 </w:t>
            </w:r>
          </w:p>
        </w:tc>
      </w:tr>
      <w:tr w:rsidR="00DD0E35" w:rsidRPr="00B03B37" w14:paraId="221D5346" w14:textId="77777777" w:rsidTr="00DD0E35">
        <w:trPr>
          <w:trHeight w:val="100"/>
        </w:trPr>
        <w:tc>
          <w:tcPr>
            <w:tcW w:w="1350" w:type="dxa"/>
          </w:tcPr>
          <w:p w14:paraId="18A8427B" w14:textId="2FCB5FB0" w:rsidR="00DD0E35" w:rsidRPr="00B03B37" w:rsidRDefault="00454470">
            <w:pPr>
              <w:pStyle w:val="Default"/>
              <w:rPr>
                <w:rFonts w:ascii="Cambria" w:hAnsi="Cambria"/>
                <w:color w:val="auto"/>
                <w:sz w:val="22"/>
                <w:szCs w:val="22"/>
              </w:rPr>
            </w:pPr>
            <w:r>
              <w:rPr>
                <w:rFonts w:ascii="Cambria" w:hAnsi="Cambria"/>
                <w:color w:val="auto"/>
                <w:sz w:val="22"/>
                <w:szCs w:val="22"/>
              </w:rPr>
              <w:t>72.0 – 74.9</w:t>
            </w:r>
            <w:r w:rsidR="00DD0E35" w:rsidRPr="00B03B37">
              <w:rPr>
                <w:rFonts w:ascii="Cambria" w:hAnsi="Cambria"/>
                <w:color w:val="auto"/>
                <w:sz w:val="22"/>
                <w:szCs w:val="22"/>
              </w:rPr>
              <w:t xml:space="preserve"> </w:t>
            </w:r>
          </w:p>
        </w:tc>
        <w:tc>
          <w:tcPr>
            <w:tcW w:w="990" w:type="dxa"/>
          </w:tcPr>
          <w:p w14:paraId="0A0B24EE"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6894736F"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2.00 </w:t>
            </w:r>
          </w:p>
        </w:tc>
      </w:tr>
      <w:tr w:rsidR="00DD0E35" w:rsidRPr="00B03B37" w14:paraId="3B92EA52" w14:textId="77777777" w:rsidTr="00DD0E35">
        <w:trPr>
          <w:trHeight w:val="100"/>
        </w:trPr>
        <w:tc>
          <w:tcPr>
            <w:tcW w:w="1350" w:type="dxa"/>
          </w:tcPr>
          <w:p w14:paraId="5A107820" w14:textId="0B5379C4" w:rsidR="00DD0E35" w:rsidRPr="00B03B37" w:rsidRDefault="00454470">
            <w:pPr>
              <w:pStyle w:val="Default"/>
              <w:rPr>
                <w:rFonts w:ascii="Cambria" w:hAnsi="Cambria"/>
                <w:color w:val="auto"/>
                <w:sz w:val="22"/>
                <w:szCs w:val="22"/>
              </w:rPr>
            </w:pPr>
            <w:r>
              <w:rPr>
                <w:rFonts w:ascii="Cambria" w:hAnsi="Cambria"/>
                <w:color w:val="auto"/>
                <w:sz w:val="22"/>
                <w:szCs w:val="22"/>
              </w:rPr>
              <w:t>69.0 – 71.9</w:t>
            </w:r>
            <w:r w:rsidR="00DD0E35" w:rsidRPr="00B03B37">
              <w:rPr>
                <w:rFonts w:ascii="Cambria" w:hAnsi="Cambria"/>
                <w:color w:val="auto"/>
                <w:sz w:val="22"/>
                <w:szCs w:val="22"/>
              </w:rPr>
              <w:t xml:space="preserve"> </w:t>
            </w:r>
          </w:p>
        </w:tc>
        <w:tc>
          <w:tcPr>
            <w:tcW w:w="990" w:type="dxa"/>
          </w:tcPr>
          <w:p w14:paraId="44DD3958"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C- </w:t>
            </w:r>
          </w:p>
        </w:tc>
        <w:tc>
          <w:tcPr>
            <w:tcW w:w="1170" w:type="dxa"/>
          </w:tcPr>
          <w:p w14:paraId="75EDB703"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1.67 </w:t>
            </w:r>
          </w:p>
        </w:tc>
      </w:tr>
      <w:tr w:rsidR="00DD0E35" w:rsidRPr="00B03B37" w14:paraId="7F5510C7" w14:textId="77777777" w:rsidTr="00DD0E35">
        <w:trPr>
          <w:trHeight w:val="100"/>
        </w:trPr>
        <w:tc>
          <w:tcPr>
            <w:tcW w:w="1350" w:type="dxa"/>
          </w:tcPr>
          <w:p w14:paraId="0E342BED" w14:textId="24D6213B" w:rsidR="00DD0E35" w:rsidRPr="00B03B37" w:rsidRDefault="00454470">
            <w:pPr>
              <w:pStyle w:val="Default"/>
              <w:rPr>
                <w:rFonts w:ascii="Cambria" w:hAnsi="Cambria"/>
                <w:color w:val="auto"/>
                <w:sz w:val="22"/>
                <w:szCs w:val="22"/>
              </w:rPr>
            </w:pPr>
            <w:r>
              <w:rPr>
                <w:rFonts w:ascii="Cambria" w:hAnsi="Cambria"/>
                <w:color w:val="auto"/>
                <w:sz w:val="22"/>
                <w:szCs w:val="22"/>
              </w:rPr>
              <w:t>66.0 - 68</w:t>
            </w:r>
            <w:r w:rsidR="00DD0E35" w:rsidRPr="00B03B37">
              <w:rPr>
                <w:rFonts w:ascii="Cambria" w:hAnsi="Cambria"/>
                <w:color w:val="auto"/>
                <w:sz w:val="22"/>
                <w:szCs w:val="22"/>
              </w:rPr>
              <w:t xml:space="preserve">.9 </w:t>
            </w:r>
          </w:p>
        </w:tc>
        <w:tc>
          <w:tcPr>
            <w:tcW w:w="990" w:type="dxa"/>
          </w:tcPr>
          <w:p w14:paraId="0285D84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63C7B419"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1.33 </w:t>
            </w:r>
          </w:p>
        </w:tc>
      </w:tr>
      <w:tr w:rsidR="00DD0E35" w:rsidRPr="00B03B37" w14:paraId="278C920F" w14:textId="77777777" w:rsidTr="00DD0E35">
        <w:trPr>
          <w:trHeight w:val="100"/>
        </w:trPr>
        <w:tc>
          <w:tcPr>
            <w:tcW w:w="1350" w:type="dxa"/>
          </w:tcPr>
          <w:p w14:paraId="7D719022" w14:textId="76600C7A" w:rsidR="00DD0E35" w:rsidRPr="00B03B37" w:rsidRDefault="00454470">
            <w:pPr>
              <w:pStyle w:val="Default"/>
              <w:rPr>
                <w:rFonts w:ascii="Cambria" w:hAnsi="Cambria"/>
                <w:color w:val="auto"/>
                <w:sz w:val="22"/>
                <w:szCs w:val="22"/>
              </w:rPr>
            </w:pPr>
            <w:r>
              <w:rPr>
                <w:rFonts w:ascii="Cambria" w:hAnsi="Cambria"/>
                <w:color w:val="auto"/>
                <w:sz w:val="22"/>
                <w:szCs w:val="22"/>
              </w:rPr>
              <w:t>63.0 - 65.9</w:t>
            </w:r>
            <w:r w:rsidR="00DD0E35" w:rsidRPr="00B03B37">
              <w:rPr>
                <w:rFonts w:ascii="Cambria" w:hAnsi="Cambria"/>
                <w:color w:val="auto"/>
                <w:sz w:val="22"/>
                <w:szCs w:val="22"/>
              </w:rPr>
              <w:t xml:space="preserve"> </w:t>
            </w:r>
          </w:p>
        </w:tc>
        <w:tc>
          <w:tcPr>
            <w:tcW w:w="990" w:type="dxa"/>
          </w:tcPr>
          <w:p w14:paraId="08B373A6"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67684E31"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1.00 </w:t>
            </w:r>
          </w:p>
        </w:tc>
      </w:tr>
      <w:tr w:rsidR="00DD0E35" w:rsidRPr="00B03B37" w14:paraId="3476F7F4" w14:textId="77777777" w:rsidTr="00DD0E35">
        <w:trPr>
          <w:trHeight w:val="100"/>
        </w:trPr>
        <w:tc>
          <w:tcPr>
            <w:tcW w:w="1350" w:type="dxa"/>
          </w:tcPr>
          <w:p w14:paraId="56CBFE46" w14:textId="2FA62F2B" w:rsidR="00DD0E35" w:rsidRPr="00B03B37" w:rsidRDefault="00454470">
            <w:pPr>
              <w:pStyle w:val="Default"/>
              <w:rPr>
                <w:rFonts w:ascii="Cambria" w:hAnsi="Cambria"/>
                <w:color w:val="auto"/>
                <w:sz w:val="22"/>
                <w:szCs w:val="22"/>
              </w:rPr>
            </w:pPr>
            <w:r>
              <w:rPr>
                <w:rFonts w:ascii="Cambria" w:hAnsi="Cambria"/>
                <w:color w:val="auto"/>
                <w:sz w:val="22"/>
                <w:szCs w:val="22"/>
              </w:rPr>
              <w:t>60.0 – 62.9</w:t>
            </w:r>
            <w:r w:rsidR="00DD0E35" w:rsidRPr="00B03B37">
              <w:rPr>
                <w:rFonts w:ascii="Cambria" w:hAnsi="Cambria"/>
                <w:color w:val="auto"/>
                <w:sz w:val="22"/>
                <w:szCs w:val="22"/>
              </w:rPr>
              <w:t xml:space="preserve"> </w:t>
            </w:r>
          </w:p>
        </w:tc>
        <w:tc>
          <w:tcPr>
            <w:tcW w:w="990" w:type="dxa"/>
          </w:tcPr>
          <w:p w14:paraId="6AE69F7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D- </w:t>
            </w:r>
          </w:p>
        </w:tc>
        <w:tc>
          <w:tcPr>
            <w:tcW w:w="1170" w:type="dxa"/>
          </w:tcPr>
          <w:p w14:paraId="2C7F8DFD"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0.67 </w:t>
            </w:r>
          </w:p>
        </w:tc>
      </w:tr>
      <w:tr w:rsidR="00DD0E35" w:rsidRPr="00B03B37" w14:paraId="24F40FD6" w14:textId="77777777" w:rsidTr="00DD0E35">
        <w:trPr>
          <w:trHeight w:val="100"/>
        </w:trPr>
        <w:tc>
          <w:tcPr>
            <w:tcW w:w="1350" w:type="dxa"/>
          </w:tcPr>
          <w:p w14:paraId="53132BB3"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0 - 59.9 </w:t>
            </w:r>
          </w:p>
        </w:tc>
        <w:tc>
          <w:tcPr>
            <w:tcW w:w="990" w:type="dxa"/>
          </w:tcPr>
          <w:p w14:paraId="218046A0"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E </w:t>
            </w:r>
          </w:p>
        </w:tc>
        <w:tc>
          <w:tcPr>
            <w:tcW w:w="1170" w:type="dxa"/>
          </w:tcPr>
          <w:p w14:paraId="51221E5F" w14:textId="77777777" w:rsidR="00DD0E35" w:rsidRPr="00B03B37" w:rsidRDefault="00DD0E35">
            <w:pPr>
              <w:pStyle w:val="Default"/>
              <w:rPr>
                <w:rFonts w:ascii="Cambria" w:hAnsi="Cambria"/>
                <w:color w:val="auto"/>
                <w:sz w:val="22"/>
                <w:szCs w:val="22"/>
              </w:rPr>
            </w:pPr>
            <w:r w:rsidRPr="00B03B37">
              <w:rPr>
                <w:rFonts w:ascii="Cambria" w:hAnsi="Cambria"/>
                <w:color w:val="auto"/>
                <w:sz w:val="22"/>
                <w:szCs w:val="22"/>
              </w:rPr>
              <w:t xml:space="preserve">0.00 </w:t>
            </w:r>
          </w:p>
        </w:tc>
      </w:tr>
    </w:tbl>
    <w:p w14:paraId="421038BE" w14:textId="77777777" w:rsidR="00820834" w:rsidRPr="00B03B37" w:rsidRDefault="00820834" w:rsidP="00820834">
      <w:pPr>
        <w:rPr>
          <w:szCs w:val="22"/>
        </w:rPr>
      </w:pPr>
    </w:p>
    <w:p w14:paraId="035DAD1D" w14:textId="77777777" w:rsidR="00DD0E35" w:rsidRPr="00B03B37" w:rsidRDefault="00DD0E35" w:rsidP="00820834">
      <w:pPr>
        <w:rPr>
          <w:szCs w:val="22"/>
        </w:rPr>
      </w:pPr>
      <w:r w:rsidRPr="00B03B37">
        <w:rPr>
          <w:szCs w:val="22"/>
        </w:rPr>
        <w:t xml:space="preserve">More information on UF grading policy may be found at: </w:t>
      </w:r>
      <w:hyperlink r:id="rId9" w:history="1">
        <w:r w:rsidRPr="00B03B37">
          <w:rPr>
            <w:rStyle w:val="Hyperlink"/>
            <w:color w:val="auto"/>
            <w:szCs w:val="22"/>
          </w:rPr>
          <w:t>https://catalog.ufl.edu/ugrad/current/regulations/info/grades.aspx</w:t>
        </w:r>
      </w:hyperlink>
    </w:p>
    <w:p w14:paraId="3BC6EE14" w14:textId="77777777" w:rsidR="00DD0E35" w:rsidRPr="00B03B37" w:rsidRDefault="00DD0E35" w:rsidP="00820834">
      <w:pPr>
        <w:rPr>
          <w:szCs w:val="22"/>
        </w:rPr>
      </w:pPr>
    </w:p>
    <w:p w14:paraId="5405D2F4" w14:textId="77777777" w:rsidR="00473CD9" w:rsidRPr="00DD0E35" w:rsidRDefault="00473CD9" w:rsidP="00473CD9">
      <w:pPr>
        <w:autoSpaceDE w:val="0"/>
        <w:autoSpaceDN w:val="0"/>
        <w:adjustRightInd w:val="0"/>
        <w:jc w:val="both"/>
        <w:rPr>
          <w:rFonts w:cs="Calibri"/>
          <w:b/>
          <w:i/>
          <w:szCs w:val="22"/>
        </w:rPr>
      </w:pPr>
      <w:r w:rsidRPr="00DD0E35">
        <w:rPr>
          <w:rFonts w:cs="Calibri"/>
          <w:b/>
          <w:i/>
          <w:szCs w:val="22"/>
        </w:rPr>
        <w:t xml:space="preserve">Students Requiring Accommodations </w:t>
      </w:r>
    </w:p>
    <w:p w14:paraId="7E7AAB43" w14:textId="77777777" w:rsidR="00473CD9" w:rsidRPr="00615BC7" w:rsidRDefault="00473CD9" w:rsidP="00473CD9">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10"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43091443" w14:textId="77777777" w:rsidR="00473CD9" w:rsidRDefault="00473CD9" w:rsidP="00473CD9">
      <w:pPr>
        <w:jc w:val="both"/>
        <w:rPr>
          <w:color w:val="000000"/>
          <w:szCs w:val="22"/>
        </w:rPr>
      </w:pPr>
    </w:p>
    <w:p w14:paraId="4E5B2FF9" w14:textId="77777777" w:rsidR="00473CD9" w:rsidRPr="00BA6E7F" w:rsidRDefault="00473CD9" w:rsidP="00473CD9">
      <w:pPr>
        <w:autoSpaceDE w:val="0"/>
        <w:autoSpaceDN w:val="0"/>
        <w:adjustRightInd w:val="0"/>
        <w:jc w:val="both"/>
        <w:rPr>
          <w:rFonts w:cs="Calibri"/>
          <w:b/>
          <w:i/>
          <w:szCs w:val="22"/>
        </w:rPr>
      </w:pPr>
      <w:r w:rsidRPr="00BA6E7F">
        <w:rPr>
          <w:rFonts w:cs="Calibri"/>
          <w:b/>
          <w:i/>
          <w:szCs w:val="22"/>
        </w:rPr>
        <w:t xml:space="preserve">Course Evaluation </w:t>
      </w:r>
    </w:p>
    <w:p w14:paraId="1B4C30EF" w14:textId="77777777" w:rsidR="00473CD9" w:rsidRDefault="00473CD9" w:rsidP="00473CD9">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1"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2"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3" w:history="1">
        <w:r w:rsidRPr="000B2B99">
          <w:rPr>
            <w:rStyle w:val="Hyperlink"/>
            <w:szCs w:val="22"/>
          </w:rPr>
          <w:t>https://gatorevals.aa.ufl.edu/public-results/</w:t>
        </w:r>
      </w:hyperlink>
      <w:r w:rsidRPr="00BA23C1">
        <w:rPr>
          <w:color w:val="000000"/>
          <w:szCs w:val="22"/>
        </w:rPr>
        <w:t>.</w:t>
      </w:r>
    </w:p>
    <w:p w14:paraId="54FE139E" w14:textId="77777777" w:rsidR="00473CD9" w:rsidRPr="00615BC7" w:rsidRDefault="00473CD9" w:rsidP="00473CD9">
      <w:pPr>
        <w:jc w:val="both"/>
        <w:rPr>
          <w:color w:val="000000"/>
          <w:szCs w:val="22"/>
        </w:rPr>
      </w:pPr>
    </w:p>
    <w:p w14:paraId="32438996" w14:textId="77777777" w:rsidR="00473CD9" w:rsidRDefault="00473CD9" w:rsidP="00473CD9">
      <w:pPr>
        <w:autoSpaceDE w:val="0"/>
        <w:autoSpaceDN w:val="0"/>
        <w:adjustRightInd w:val="0"/>
        <w:jc w:val="both"/>
        <w:rPr>
          <w:rFonts w:cs="Calibri"/>
          <w:b/>
          <w:iCs/>
          <w:szCs w:val="22"/>
        </w:rPr>
      </w:pPr>
      <w:r w:rsidRPr="00E605B0">
        <w:rPr>
          <w:rFonts w:cs="Calibri"/>
          <w:b/>
          <w:iCs/>
          <w:szCs w:val="22"/>
        </w:rPr>
        <w:t>In-Class Recording</w:t>
      </w:r>
    </w:p>
    <w:p w14:paraId="64021CA0" w14:textId="77777777" w:rsidR="00473CD9" w:rsidRPr="00E605B0" w:rsidRDefault="00473CD9" w:rsidP="00473CD9">
      <w:pPr>
        <w:autoSpaceDE w:val="0"/>
        <w:autoSpaceDN w:val="0"/>
        <w:adjustRightInd w:val="0"/>
        <w:jc w:val="both"/>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40111DDC" w14:textId="77777777" w:rsidR="00473CD9" w:rsidRPr="00E605B0" w:rsidRDefault="00473CD9" w:rsidP="00473CD9">
      <w:pPr>
        <w:pStyle w:val="NormalWeb"/>
        <w:jc w:val="both"/>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BB364CD" w14:textId="77777777" w:rsidR="00473CD9" w:rsidRPr="00923D93" w:rsidRDefault="00473CD9" w:rsidP="00473CD9">
      <w:pPr>
        <w:pStyle w:val="NormalWeb"/>
        <w:jc w:val="both"/>
        <w:rPr>
          <w:rFonts w:ascii="Cambria" w:hAnsi="Cambria"/>
          <w:color w:val="000000"/>
          <w:sz w:val="22"/>
          <w:szCs w:val="22"/>
        </w:rPr>
      </w:pPr>
      <w:r w:rsidRPr="00E605B0">
        <w:rPr>
          <w:rFonts w:ascii="Cambria" w:hAnsi="Cambria"/>
          <w:color w:val="000000"/>
          <w:sz w:val="22"/>
          <w:szCs w:val="22"/>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605B0">
        <w:rPr>
          <w:rFonts w:ascii="Cambria" w:hAnsi="Cambria"/>
          <w:color w:val="000000"/>
          <w:sz w:val="22"/>
          <w:szCs w:val="22"/>
        </w:rPr>
        <w:t>third party</w:t>
      </w:r>
      <w:proofErr w:type="gramEnd"/>
      <w:r w:rsidRPr="00E605B0">
        <w:rPr>
          <w:rFonts w:ascii="Cambria" w:hAnsi="Cambria"/>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C2EEB2E" w14:textId="77777777" w:rsidR="00473CD9" w:rsidRPr="00615BC7" w:rsidRDefault="00473CD9" w:rsidP="00473CD9">
      <w:pPr>
        <w:autoSpaceDE w:val="0"/>
        <w:autoSpaceDN w:val="0"/>
        <w:adjustRightInd w:val="0"/>
        <w:jc w:val="both"/>
        <w:rPr>
          <w:rFonts w:cs="Calibri"/>
          <w:b/>
          <w:i/>
          <w:szCs w:val="22"/>
        </w:rPr>
      </w:pPr>
      <w:r w:rsidRPr="00615BC7">
        <w:rPr>
          <w:rFonts w:cs="Calibri"/>
          <w:b/>
          <w:i/>
          <w:szCs w:val="22"/>
        </w:rPr>
        <w:t xml:space="preserve">University Honesty Policy </w:t>
      </w:r>
    </w:p>
    <w:p w14:paraId="0F013455" w14:textId="77777777" w:rsidR="00473CD9" w:rsidRDefault="00473CD9" w:rsidP="00473CD9">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w:t>
      </w:r>
      <w:r>
        <w:rPr>
          <w:color w:val="000000"/>
          <w:szCs w:val="22"/>
        </w:rPr>
        <w:t>(</w:t>
      </w:r>
      <w:hyperlink r:id="rId14" w:history="1">
        <w:r w:rsidRPr="00AB320D">
          <w:rPr>
            <w:rStyle w:val="Hyperlink"/>
            <w:szCs w:val="22"/>
          </w:rPr>
          <w:t>https://sccr.dso.ufl.edu/process/student-conduct-code/)</w:t>
        </w:r>
      </w:hyperlink>
      <w:r>
        <w:rPr>
          <w:szCs w:val="22"/>
        </w:rPr>
        <w:t xml:space="preserve"> </w:t>
      </w:r>
      <w:r w:rsidRPr="00AB320D">
        <w:rPr>
          <w:color w:val="000000"/>
          <w:szCs w:val="22"/>
        </w:rPr>
        <w:t xml:space="preserve">specifies </w:t>
      </w:r>
      <w:proofErr w:type="gramStart"/>
      <w:r w:rsidRPr="00AB320D">
        <w:rPr>
          <w:color w:val="000000"/>
          <w:szCs w:val="22"/>
        </w:rPr>
        <w:t>a number of</w:t>
      </w:r>
      <w:proofErr w:type="gramEnd"/>
      <w:r w:rsidRPr="00AB320D">
        <w:rPr>
          <w:color w:val="000000"/>
          <w:szCs w:val="22"/>
        </w:rPr>
        <w:t xml:space="preserve"> behaviors that are in violation of this code and the possible sanctions.</w:t>
      </w:r>
      <w:r w:rsidRPr="00615BC7">
        <w:rPr>
          <w:color w:val="000000"/>
          <w:szCs w:val="22"/>
        </w:rPr>
        <w:t xml:space="preserve"> </w:t>
      </w:r>
      <w:r>
        <w:rPr>
          <w:color w:val="000000"/>
          <w:szCs w:val="22"/>
        </w:rPr>
        <w:t xml:space="preserve"> </w:t>
      </w:r>
      <w:r w:rsidRPr="00AB320D">
        <w:rPr>
          <w:color w:val="000000"/>
          <w:szCs w:val="22"/>
        </w:rPr>
        <w:t>If you have any questions or concerns, please consult with the instructor or TAs in this class.</w:t>
      </w:r>
    </w:p>
    <w:p w14:paraId="3C415494" w14:textId="77777777" w:rsidR="00473CD9" w:rsidRPr="00615BC7" w:rsidRDefault="00473CD9" w:rsidP="00473CD9">
      <w:pPr>
        <w:jc w:val="both"/>
        <w:rPr>
          <w:b/>
          <w:i/>
          <w:color w:val="000000"/>
          <w:szCs w:val="22"/>
        </w:rPr>
      </w:pPr>
    </w:p>
    <w:p w14:paraId="31569858" w14:textId="77777777" w:rsidR="00473CD9" w:rsidRPr="00615BC7" w:rsidRDefault="00473CD9" w:rsidP="00473CD9">
      <w:pPr>
        <w:jc w:val="both"/>
        <w:rPr>
          <w:color w:val="000000"/>
          <w:szCs w:val="22"/>
        </w:rPr>
      </w:pPr>
      <w:r w:rsidRPr="00615BC7">
        <w:rPr>
          <w:b/>
          <w:i/>
          <w:color w:val="000000"/>
          <w:szCs w:val="22"/>
        </w:rPr>
        <w:t>Commitment to a Safe and Inclusive Learning Environment</w:t>
      </w:r>
    </w:p>
    <w:p w14:paraId="621F34FE" w14:textId="77777777" w:rsidR="00473CD9" w:rsidRPr="00615BC7" w:rsidRDefault="00473CD9" w:rsidP="00473CD9">
      <w:pPr>
        <w:jc w:val="both"/>
        <w:rPr>
          <w:color w:val="000000"/>
          <w:szCs w:val="22"/>
        </w:rPr>
      </w:pPr>
      <w:r w:rsidRPr="00615BC7">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6240E9FC" w14:textId="77777777" w:rsidR="00473CD9" w:rsidRPr="00615BC7" w:rsidRDefault="00473CD9" w:rsidP="00473CD9">
      <w:pPr>
        <w:jc w:val="both"/>
        <w:rPr>
          <w:color w:val="000000"/>
          <w:szCs w:val="22"/>
        </w:rPr>
      </w:pPr>
    </w:p>
    <w:p w14:paraId="6F5D5018" w14:textId="77777777" w:rsidR="00473CD9" w:rsidRPr="00615BC7" w:rsidRDefault="00473CD9" w:rsidP="00473CD9">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69D6A9F8" w14:textId="77777777" w:rsidR="00473CD9" w:rsidRPr="00615BC7" w:rsidRDefault="00473CD9" w:rsidP="00473CD9">
      <w:pPr>
        <w:jc w:val="both"/>
        <w:rPr>
          <w:color w:val="000000"/>
          <w:szCs w:val="22"/>
        </w:rPr>
      </w:pPr>
      <w:r w:rsidRPr="00615BC7">
        <w:rPr>
          <w:color w:val="000000"/>
          <w:szCs w:val="22"/>
        </w:rPr>
        <w:t>• Your academic advisor or Graduate Program Coordinator</w:t>
      </w:r>
    </w:p>
    <w:p w14:paraId="6B4375AB" w14:textId="77777777" w:rsidR="00473CD9" w:rsidRDefault="00473CD9" w:rsidP="00473CD9">
      <w:pPr>
        <w:jc w:val="both"/>
        <w:rPr>
          <w:color w:val="000000"/>
          <w:szCs w:val="22"/>
        </w:rPr>
      </w:pPr>
      <w:r w:rsidRPr="00615BC7">
        <w:rPr>
          <w:color w:val="000000"/>
          <w:szCs w:val="22"/>
        </w:rPr>
        <w:t xml:space="preserve">• </w:t>
      </w:r>
      <w:r>
        <w:rPr>
          <w:color w:val="000000"/>
          <w:szCs w:val="22"/>
        </w:rPr>
        <w:t xml:space="preserve">Jennifer </w:t>
      </w:r>
      <w:proofErr w:type="spellStart"/>
      <w:r>
        <w:rPr>
          <w:color w:val="000000"/>
          <w:szCs w:val="22"/>
        </w:rPr>
        <w:t>Nappo</w:t>
      </w:r>
      <w:proofErr w:type="spellEnd"/>
      <w:r w:rsidRPr="000059DB">
        <w:rPr>
          <w:color w:val="000000"/>
          <w:szCs w:val="22"/>
        </w:rPr>
        <w:t>, Director of Human Resources, 352-392-090</w:t>
      </w:r>
      <w:r>
        <w:rPr>
          <w:color w:val="000000"/>
          <w:szCs w:val="22"/>
        </w:rPr>
        <w:t>4</w:t>
      </w:r>
      <w:r w:rsidRPr="000059DB">
        <w:rPr>
          <w:color w:val="000000"/>
          <w:szCs w:val="22"/>
        </w:rPr>
        <w:t>,</w:t>
      </w:r>
      <w:r>
        <w:rPr>
          <w:color w:val="000000"/>
          <w:szCs w:val="22"/>
        </w:rPr>
        <w:t xml:space="preserve"> </w:t>
      </w:r>
      <w:hyperlink r:id="rId15" w:history="1">
        <w:r w:rsidRPr="00723711">
          <w:rPr>
            <w:rStyle w:val="Hyperlink"/>
            <w:szCs w:val="22"/>
          </w:rPr>
          <w:t>jpennacc@ufl.edu</w:t>
        </w:r>
      </w:hyperlink>
    </w:p>
    <w:p w14:paraId="16061483" w14:textId="77777777" w:rsidR="00473CD9" w:rsidRPr="00615BC7" w:rsidRDefault="00473CD9" w:rsidP="00473CD9">
      <w:pPr>
        <w:jc w:val="both"/>
        <w:rPr>
          <w:color w:val="000000"/>
          <w:szCs w:val="22"/>
        </w:rPr>
      </w:pPr>
      <w:r w:rsidRPr="00615BC7">
        <w:rPr>
          <w:color w:val="000000"/>
          <w:szCs w:val="22"/>
        </w:rPr>
        <w:t xml:space="preserve">• Curtis Taylor, Associate Dean of Student Affairs, 352-392-2177, </w:t>
      </w:r>
      <w:hyperlink r:id="rId16" w:history="1">
        <w:r w:rsidRPr="00615BC7">
          <w:rPr>
            <w:rStyle w:val="Hyperlink"/>
            <w:szCs w:val="22"/>
          </w:rPr>
          <w:t>taylor@eng.ufl.edu</w:t>
        </w:r>
      </w:hyperlink>
    </w:p>
    <w:p w14:paraId="024DB4F1" w14:textId="77777777" w:rsidR="00473CD9" w:rsidRPr="00615BC7" w:rsidRDefault="00473CD9" w:rsidP="00473CD9">
      <w:pPr>
        <w:jc w:val="both"/>
        <w:rPr>
          <w:color w:val="000000"/>
          <w:szCs w:val="22"/>
        </w:rPr>
      </w:pPr>
      <w:r w:rsidRPr="00615BC7">
        <w:rPr>
          <w:color w:val="000000"/>
          <w:szCs w:val="22"/>
        </w:rPr>
        <w:t xml:space="preserve">• Toshikazu Nishida, Associate Dean of Academic Affairs, 352-392-0943, </w:t>
      </w:r>
      <w:hyperlink r:id="rId17" w:history="1">
        <w:r w:rsidRPr="00615BC7">
          <w:rPr>
            <w:rStyle w:val="Hyperlink"/>
            <w:szCs w:val="22"/>
          </w:rPr>
          <w:t>nishida@eng.ufl.edu</w:t>
        </w:r>
      </w:hyperlink>
    </w:p>
    <w:p w14:paraId="7A2342BC" w14:textId="77777777" w:rsidR="00473CD9" w:rsidRPr="00615BC7" w:rsidRDefault="00473CD9" w:rsidP="00473CD9">
      <w:pPr>
        <w:jc w:val="both"/>
        <w:rPr>
          <w:color w:val="000000"/>
          <w:szCs w:val="22"/>
        </w:rPr>
      </w:pPr>
    </w:p>
    <w:p w14:paraId="35C4278D" w14:textId="77777777" w:rsidR="00473CD9" w:rsidRPr="00615BC7" w:rsidRDefault="00473CD9" w:rsidP="00473CD9">
      <w:pPr>
        <w:pStyle w:val="PlainText"/>
        <w:jc w:val="both"/>
        <w:rPr>
          <w:rFonts w:ascii="Cambria" w:hAnsi="Cambria"/>
          <w:b/>
          <w:i/>
        </w:rPr>
      </w:pPr>
      <w:r w:rsidRPr="00615BC7">
        <w:rPr>
          <w:rFonts w:ascii="Cambria" w:hAnsi="Cambria"/>
          <w:b/>
          <w:i/>
        </w:rPr>
        <w:t>Software Use</w:t>
      </w:r>
    </w:p>
    <w:p w14:paraId="412E235D" w14:textId="77777777" w:rsidR="00473CD9" w:rsidRPr="00615BC7" w:rsidRDefault="00473CD9" w:rsidP="00473CD9">
      <w:pPr>
        <w:pStyle w:val="PlainText"/>
        <w:jc w:val="both"/>
        <w:rPr>
          <w:rFonts w:ascii="Cambria" w:hAnsi="Cambria"/>
        </w:rPr>
      </w:pPr>
      <w:r w:rsidRPr="00615BC7">
        <w:rPr>
          <w:rFonts w:ascii="Cambria" w:hAnsi="Cambria"/>
        </w:rPr>
        <w:t xml:space="preserve">All faculty, staff, and students </w:t>
      </w:r>
      <w:proofErr w:type="gramStart"/>
      <w:r w:rsidRPr="00615BC7">
        <w:rPr>
          <w:rFonts w:ascii="Cambria" w:hAnsi="Cambria"/>
        </w:rPr>
        <w:t>of</w:t>
      </w:r>
      <w:proofErr w:type="gramEnd"/>
      <w:r w:rsidRPr="00615BC7">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615BC7">
        <w:rPr>
          <w:rFonts w:ascii="Cambria" w:hAnsi="Cambria"/>
        </w:rPr>
        <w:t>University</w:t>
      </w:r>
      <w:proofErr w:type="gramEnd"/>
      <w:r w:rsidRPr="00615BC7">
        <w:rPr>
          <w:rFonts w:ascii="Cambria" w:hAnsi="Cambria"/>
        </w:rPr>
        <w:t xml:space="preserve"> policies and rules, disciplinary action will be taken as appropriate.  We, the members of the University of Florida community, pledge to uphold ourselves and our peers to the highest standards of honesty and integrity.</w:t>
      </w:r>
    </w:p>
    <w:p w14:paraId="220F8A24" w14:textId="77777777" w:rsidR="00473CD9" w:rsidRPr="00615BC7" w:rsidRDefault="00473CD9" w:rsidP="00473CD9">
      <w:pPr>
        <w:pStyle w:val="PlainText"/>
        <w:jc w:val="both"/>
        <w:rPr>
          <w:rFonts w:ascii="Cambria" w:hAnsi="Cambria"/>
        </w:rPr>
      </w:pPr>
    </w:p>
    <w:p w14:paraId="49335B5F" w14:textId="77777777" w:rsidR="00473CD9" w:rsidRPr="00615BC7" w:rsidRDefault="00473CD9" w:rsidP="00473CD9">
      <w:pPr>
        <w:pStyle w:val="PlainText"/>
        <w:jc w:val="both"/>
        <w:rPr>
          <w:rFonts w:ascii="Cambria" w:hAnsi="Cambria"/>
          <w:b/>
          <w:i/>
        </w:rPr>
      </w:pPr>
      <w:r w:rsidRPr="00615BC7">
        <w:rPr>
          <w:rFonts w:ascii="Cambria" w:hAnsi="Cambria"/>
          <w:b/>
          <w:i/>
        </w:rPr>
        <w:t>Student Privacy</w:t>
      </w:r>
    </w:p>
    <w:p w14:paraId="5245329D" w14:textId="77777777" w:rsidR="00473CD9" w:rsidRPr="00615BC7" w:rsidRDefault="00473CD9" w:rsidP="00473CD9">
      <w:pPr>
        <w:pStyle w:val="PlainText"/>
        <w:jc w:val="both"/>
        <w:rPr>
          <w:rFonts w:ascii="Cambria" w:hAnsi="Cambria"/>
        </w:rPr>
      </w:pPr>
      <w:r w:rsidRPr="00615BC7">
        <w:rPr>
          <w:rFonts w:ascii="Cambria" w:hAnsi="Cambria"/>
        </w:rPr>
        <w:t xml:space="preserve">There are federal laws protecting your privacy with regards to grades earned in courses and on individual assignments.  For more information, please see:  </w:t>
      </w:r>
      <w:hyperlink r:id="rId18" w:history="1">
        <w:r w:rsidRPr="00615BC7">
          <w:rPr>
            <w:rStyle w:val="Hyperlink"/>
            <w:rFonts w:ascii="Cambria" w:hAnsi="Cambria"/>
          </w:rPr>
          <w:t>https://registrar.ufl.edu/ferpa.html</w:t>
        </w:r>
      </w:hyperlink>
    </w:p>
    <w:p w14:paraId="43B3887A" w14:textId="77777777" w:rsidR="00473CD9" w:rsidRPr="00615BC7" w:rsidRDefault="00473CD9" w:rsidP="00473CD9">
      <w:pPr>
        <w:pStyle w:val="PlainText"/>
        <w:jc w:val="both"/>
        <w:rPr>
          <w:rFonts w:ascii="Cambria" w:hAnsi="Cambria"/>
          <w:b/>
          <w:i/>
          <w:szCs w:val="22"/>
        </w:rPr>
      </w:pPr>
    </w:p>
    <w:p w14:paraId="5987892F" w14:textId="77777777" w:rsidR="00473CD9" w:rsidRPr="00BA4855" w:rsidRDefault="00473CD9" w:rsidP="00473CD9">
      <w:pPr>
        <w:pStyle w:val="Default"/>
        <w:rPr>
          <w:rFonts w:ascii="Cambria" w:hAnsi="Cambria"/>
          <w:b/>
          <w:i/>
          <w:sz w:val="22"/>
          <w:szCs w:val="22"/>
        </w:rPr>
      </w:pPr>
      <w:r w:rsidRPr="00615BC7">
        <w:rPr>
          <w:rFonts w:ascii="Cambria" w:hAnsi="Cambria"/>
          <w:b/>
          <w:i/>
          <w:sz w:val="22"/>
          <w:szCs w:val="22"/>
        </w:rPr>
        <w:t xml:space="preserve">Campus Resources: </w:t>
      </w:r>
    </w:p>
    <w:p w14:paraId="3FA6BA3F" w14:textId="77777777" w:rsidR="00473CD9" w:rsidRPr="00615BC7" w:rsidRDefault="00473CD9" w:rsidP="00473CD9">
      <w:pPr>
        <w:pStyle w:val="Default"/>
        <w:rPr>
          <w:rFonts w:ascii="Cambria" w:hAnsi="Cambria"/>
          <w:i/>
          <w:sz w:val="22"/>
          <w:szCs w:val="22"/>
          <w:u w:val="single"/>
        </w:rPr>
      </w:pPr>
      <w:r w:rsidRPr="00615BC7">
        <w:rPr>
          <w:rFonts w:ascii="Cambria" w:hAnsi="Cambria"/>
          <w:i/>
          <w:sz w:val="22"/>
          <w:szCs w:val="22"/>
          <w:u w:val="single"/>
        </w:rPr>
        <w:t xml:space="preserve">Health and Wellness </w:t>
      </w:r>
    </w:p>
    <w:p w14:paraId="7A43EB7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 xml:space="preserve">U Matter, We Care: </w:t>
      </w:r>
    </w:p>
    <w:p w14:paraId="1AADE3C4"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615BC7">
          <w:rPr>
            <w:rStyle w:val="Hyperlink"/>
            <w:rFonts w:ascii="Cambria" w:hAnsi="Cambria"/>
            <w:color w:val="FF0000"/>
            <w:sz w:val="22"/>
            <w:szCs w:val="21"/>
          </w:rPr>
          <w:t>umatter@ufl.edu</w:t>
        </w:r>
      </w:hyperlink>
      <w:r w:rsidRPr="00615BC7">
        <w:rPr>
          <w:rFonts w:ascii="Cambria" w:hAnsi="Cambria"/>
          <w:sz w:val="22"/>
          <w:szCs w:val="21"/>
        </w:rPr>
        <w:t xml:space="preserve"> so that the U Matter, We Care Team can reach out to the student in distress.  A nighttime and weekend crisis counselor </w:t>
      </w:r>
      <w:proofErr w:type="gramStart"/>
      <w:r w:rsidRPr="00615BC7">
        <w:rPr>
          <w:rFonts w:ascii="Cambria" w:hAnsi="Cambria"/>
          <w:sz w:val="22"/>
          <w:szCs w:val="21"/>
        </w:rPr>
        <w:t>is</w:t>
      </w:r>
      <w:proofErr w:type="gramEnd"/>
      <w:r w:rsidRPr="00615BC7">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1C07A973"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CFC730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Pr="00C073F7">
        <w:t xml:space="preserve"> </w:t>
      </w:r>
      <w:hyperlink r:id="rId20" w:history="1">
        <w:r w:rsidRPr="00C073F7">
          <w:rPr>
            <w:rStyle w:val="Hyperlink"/>
            <w:rFonts w:ascii="Cambria" w:hAnsi="Cambria"/>
            <w:sz w:val="22"/>
            <w:szCs w:val="21"/>
          </w:rPr>
          <w:t>https://counseling.ufl.edu</w:t>
        </w:r>
      </w:hyperlink>
      <w:r>
        <w:rPr>
          <w:rFonts w:ascii="Cambria" w:hAnsi="Cambria"/>
          <w:sz w:val="22"/>
          <w:szCs w:val="21"/>
        </w:rPr>
        <w:t>,</w:t>
      </w:r>
      <w:r w:rsidRPr="00615BC7">
        <w:rPr>
          <w:rFonts w:ascii="Cambria" w:hAnsi="Cambria"/>
          <w:color w:val="0000FF"/>
          <w:sz w:val="22"/>
          <w:szCs w:val="22"/>
        </w:rPr>
        <w:t xml:space="preserve"> </w:t>
      </w:r>
      <w:proofErr w:type="gramStart"/>
      <w:r w:rsidRPr="00615BC7">
        <w:rPr>
          <w:rFonts w:ascii="Cambria" w:hAnsi="Cambria"/>
          <w:color w:val="auto"/>
          <w:sz w:val="22"/>
          <w:szCs w:val="22"/>
        </w:rPr>
        <w:t xml:space="preserve">and </w:t>
      </w:r>
      <w:r w:rsidRPr="00615BC7">
        <w:rPr>
          <w:rFonts w:ascii="Cambria" w:hAnsi="Cambria"/>
          <w:sz w:val="22"/>
          <w:szCs w:val="22"/>
        </w:rPr>
        <w:t xml:space="preserve"> 392</w:t>
      </w:r>
      <w:proofErr w:type="gramEnd"/>
      <w:r w:rsidRPr="00615BC7">
        <w:rPr>
          <w:rFonts w:ascii="Cambria" w:hAnsi="Cambria"/>
          <w:sz w:val="22"/>
          <w:szCs w:val="22"/>
        </w:rPr>
        <w:t xml:space="preserve">-1575; and the University Police Department: 392-1111 or 9-1-1 for emergencies. </w:t>
      </w:r>
    </w:p>
    <w:p w14:paraId="2BD67E22"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EB1B20B"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62084C13"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1" w:history="1">
        <w:r w:rsidRPr="00615BC7">
          <w:rPr>
            <w:rStyle w:val="Hyperlink"/>
            <w:rFonts w:ascii="Cambria" w:hAnsi="Cambria"/>
            <w:b/>
            <w:sz w:val="22"/>
            <w:szCs w:val="22"/>
          </w:rPr>
          <w:t>Office of Title IX Compliance</w:t>
        </w:r>
      </w:hyperlink>
      <w:r w:rsidRPr="00615BC7">
        <w:rPr>
          <w:rFonts w:ascii="Cambria" w:hAnsi="Cambria"/>
          <w:sz w:val="22"/>
          <w:szCs w:val="22"/>
        </w:rPr>
        <w:t xml:space="preserve">, located at Yon Hall Room 427, 1908 Stadium Road, (352) 273-1094, </w:t>
      </w:r>
      <w:hyperlink r:id="rId22" w:history="1">
        <w:r w:rsidRPr="00615BC7">
          <w:rPr>
            <w:rStyle w:val="Hyperlink"/>
            <w:rFonts w:ascii="Cambria" w:hAnsi="Cambria"/>
            <w:sz w:val="22"/>
            <w:szCs w:val="22"/>
          </w:rPr>
          <w:t>title-ix@ufl.edu</w:t>
        </w:r>
      </w:hyperlink>
    </w:p>
    <w:p w14:paraId="735B6D4F"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157D6BEF"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07A26999"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7CB9C7C7"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E321C25" w14:textId="77777777" w:rsidR="00473CD9"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University Police Department</w:t>
      </w:r>
      <w:r w:rsidRPr="00615BC7">
        <w:rPr>
          <w:i/>
          <w:iCs/>
          <w:szCs w:val="22"/>
        </w:rPr>
        <w:t xml:space="preserve"> </w:t>
      </w:r>
      <w:r w:rsidRPr="00615BC7">
        <w:rPr>
          <w:iCs/>
          <w:szCs w:val="22"/>
        </w:rPr>
        <w:t>at</w:t>
      </w:r>
      <w:r w:rsidRPr="00615BC7">
        <w:rPr>
          <w:i/>
          <w:iCs/>
          <w:szCs w:val="22"/>
        </w:rPr>
        <w:t xml:space="preserve"> </w:t>
      </w:r>
      <w:r w:rsidRPr="00615BC7">
        <w:rPr>
          <w:szCs w:val="22"/>
        </w:rPr>
        <w:t xml:space="preserve">392-1111 (or 9-1-1 for emergencies), or </w:t>
      </w:r>
      <w:hyperlink r:id="rId23" w:history="1">
        <w:r w:rsidRPr="00615BC7">
          <w:rPr>
            <w:rStyle w:val="Hyperlink"/>
            <w:color w:val="FF0000"/>
            <w:szCs w:val="22"/>
          </w:rPr>
          <w:t>http://www.police.ufl.edu/</w:t>
        </w:r>
      </w:hyperlink>
      <w:r w:rsidRPr="00615BC7">
        <w:rPr>
          <w:color w:val="FF0000"/>
          <w:szCs w:val="22"/>
          <w:u w:val="single"/>
        </w:rPr>
        <w:t>.</w:t>
      </w:r>
      <w:r w:rsidRPr="00615BC7">
        <w:rPr>
          <w:szCs w:val="22"/>
        </w:rPr>
        <w:t xml:space="preserve"> </w:t>
      </w:r>
    </w:p>
    <w:p w14:paraId="636EA536" w14:textId="77777777" w:rsidR="00473CD9" w:rsidRDefault="00473CD9" w:rsidP="00473CD9">
      <w:pPr>
        <w:pBdr>
          <w:top w:val="single" w:sz="4" w:space="1" w:color="auto"/>
          <w:left w:val="single" w:sz="4" w:space="4" w:color="auto"/>
          <w:bottom w:val="single" w:sz="4" w:space="1" w:color="auto"/>
          <w:right w:val="single" w:sz="4" w:space="4" w:color="auto"/>
        </w:pBdr>
        <w:ind w:left="360"/>
        <w:rPr>
          <w:szCs w:val="22"/>
        </w:rPr>
      </w:pPr>
    </w:p>
    <w:p w14:paraId="26C4E681" w14:textId="77777777" w:rsidR="00473CD9" w:rsidRPr="00F67762" w:rsidRDefault="00473CD9" w:rsidP="00473CD9">
      <w:pPr>
        <w:pBdr>
          <w:top w:val="single" w:sz="4" w:space="1" w:color="auto"/>
          <w:left w:val="single" w:sz="4" w:space="4" w:color="auto"/>
          <w:bottom w:val="single" w:sz="4" w:space="1" w:color="auto"/>
          <w:right w:val="single" w:sz="4" w:space="4" w:color="auto"/>
        </w:pBdr>
        <w:ind w:left="360"/>
        <w:rPr>
          <w:b/>
          <w:szCs w:val="22"/>
        </w:rPr>
      </w:pPr>
      <w:r w:rsidRPr="00F67762">
        <w:rPr>
          <w:b/>
          <w:szCs w:val="22"/>
        </w:rPr>
        <w:t>COVID-19</w:t>
      </w:r>
    </w:p>
    <w:p w14:paraId="6ACBAD31" w14:textId="77777777" w:rsidR="00473CD9" w:rsidRPr="00A4600E" w:rsidRDefault="00473CD9" w:rsidP="00473CD9">
      <w:pPr>
        <w:pStyle w:val="ListParagraph"/>
        <w:numPr>
          <w:ilvl w:val="0"/>
          <w:numId w:val="17"/>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You are expected to </w:t>
      </w:r>
      <w:proofErr w:type="gramStart"/>
      <w:r w:rsidRPr="00A4600E">
        <w:rPr>
          <w:bCs/>
          <w:szCs w:val="22"/>
        </w:rPr>
        <w:t>wear approved face coverings at all times</w:t>
      </w:r>
      <w:proofErr w:type="gramEnd"/>
      <w:r w:rsidRPr="00A4600E">
        <w:rPr>
          <w:bCs/>
          <w:szCs w:val="22"/>
        </w:rPr>
        <w:t xml:space="preserve"> during class and within buildings even if you are vaccinated. </w:t>
      </w:r>
    </w:p>
    <w:p w14:paraId="22C011D6" w14:textId="77777777" w:rsidR="00473CD9" w:rsidRPr="00A4600E" w:rsidRDefault="00473CD9" w:rsidP="00473CD9">
      <w:pPr>
        <w:pStyle w:val="ListParagraph"/>
        <w:numPr>
          <w:ilvl w:val="0"/>
          <w:numId w:val="17"/>
        </w:numPr>
        <w:pBdr>
          <w:top w:val="single" w:sz="4" w:space="1" w:color="auto"/>
          <w:left w:val="single" w:sz="4" w:space="4" w:color="auto"/>
          <w:bottom w:val="single" w:sz="4" w:space="1" w:color="auto"/>
          <w:right w:val="single" w:sz="4" w:space="4" w:color="auto"/>
        </w:pBdr>
        <w:rPr>
          <w:bCs/>
          <w:szCs w:val="22"/>
        </w:rPr>
      </w:pPr>
      <w:r w:rsidRPr="00A4600E">
        <w:rPr>
          <w:bCs/>
          <w:szCs w:val="22"/>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w:t>
      </w:r>
      <w:r>
        <w:rPr>
          <w:bCs/>
          <w:szCs w:val="22"/>
        </w:rPr>
        <w:t xml:space="preserve"> </w:t>
      </w:r>
      <w:hyperlink r:id="rId24" w:tgtFrame="_blank" w:history="1">
        <w:r w:rsidRPr="001D163E">
          <w:rPr>
            <w:rFonts w:ascii="Calibri" w:hAnsi="Calibri" w:cs="Calibri"/>
            <w:color w:val="0000FF"/>
            <w:u w:val="single"/>
            <w:shd w:val="clear" w:color="auto" w:fill="FFFFFF"/>
          </w:rPr>
          <w:t>covid@shcc.ufl.edu</w:t>
        </w:r>
      </w:hyperlink>
      <w:r w:rsidRPr="00A4600E">
        <w:rPr>
          <w:bCs/>
          <w:szCs w:val="22"/>
        </w:rPr>
        <w:t xml:space="preserve">) to be evaluated for testing and to receive further instructions about returning to campus. </w:t>
      </w:r>
    </w:p>
    <w:p w14:paraId="3D78FAE9" w14:textId="77777777" w:rsidR="00473CD9" w:rsidRPr="00A4600E" w:rsidRDefault="00473CD9" w:rsidP="00473CD9">
      <w:pPr>
        <w:pStyle w:val="ListParagraph"/>
        <w:numPr>
          <w:ilvl w:val="0"/>
          <w:numId w:val="17"/>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653E9103" w14:textId="77777777" w:rsidR="00473CD9" w:rsidRPr="00A4600E" w:rsidRDefault="00473CD9" w:rsidP="00473CD9">
      <w:pPr>
        <w:pStyle w:val="ListParagraph"/>
        <w:numPr>
          <w:ilvl w:val="0"/>
          <w:numId w:val="17"/>
        </w:numPr>
        <w:pBdr>
          <w:top w:val="single" w:sz="4" w:space="1" w:color="auto"/>
          <w:left w:val="single" w:sz="4" w:space="4" w:color="auto"/>
          <w:bottom w:val="single" w:sz="4" w:space="1" w:color="auto"/>
          <w:right w:val="single" w:sz="4" w:space="4" w:color="auto"/>
        </w:pBdr>
        <w:rPr>
          <w:bCs/>
          <w:szCs w:val="22"/>
        </w:rPr>
      </w:pPr>
      <w:r w:rsidRPr="00A4600E">
        <w:rPr>
          <w:bCs/>
          <w:szCs w:val="22"/>
        </w:rPr>
        <w:t>UF Health Screen, Test &amp; Protect offers guidance when you are sick, have been exposed to someone who has tested positive or have tested positive yourself. Visit the</w:t>
      </w:r>
      <w:r>
        <w:rPr>
          <w:bCs/>
          <w:szCs w:val="22"/>
        </w:rPr>
        <w:t xml:space="preserve"> </w:t>
      </w:r>
      <w:hyperlink r:id="rId25" w:tgtFrame="_blank" w:tooltip="UF Health Screen, Test &amp; Protect website" w:history="1">
        <w:r w:rsidRPr="001D163E">
          <w:rPr>
            <w:rFonts w:ascii="Calibri" w:hAnsi="Calibri" w:cs="Calibri"/>
            <w:color w:val="0000FF"/>
            <w:u w:val="single"/>
            <w:shd w:val="clear" w:color="auto" w:fill="FFFFFF"/>
          </w:rPr>
          <w:t>UF Health Screen, Test &amp; Protect website</w:t>
        </w:r>
      </w:hyperlink>
      <w:r>
        <w:rPr>
          <w:bCs/>
          <w:szCs w:val="22"/>
        </w:rPr>
        <w:t xml:space="preserve"> </w:t>
      </w:r>
      <w:r w:rsidRPr="00A4600E">
        <w:rPr>
          <w:bCs/>
          <w:szCs w:val="22"/>
        </w:rPr>
        <w:t xml:space="preserve">for more information. </w:t>
      </w:r>
    </w:p>
    <w:p w14:paraId="2C4E0E29" w14:textId="77777777" w:rsidR="00473CD9" w:rsidRPr="00A4600E" w:rsidRDefault="00473CD9" w:rsidP="00473CD9">
      <w:pPr>
        <w:pStyle w:val="ListParagraph"/>
        <w:numPr>
          <w:ilvl w:val="0"/>
          <w:numId w:val="17"/>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Please continue to follow healthy habits, including best practices like frequent hand washing. Following these practices is our responsibility as Gators. </w:t>
      </w:r>
    </w:p>
    <w:p w14:paraId="49820E37"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szCs w:val="22"/>
        </w:rPr>
      </w:pPr>
    </w:p>
    <w:p w14:paraId="1D682D39" w14:textId="77777777" w:rsidR="00473CD9" w:rsidRPr="00615BC7" w:rsidRDefault="00473CD9" w:rsidP="00473CD9">
      <w:pPr>
        <w:ind w:left="360"/>
        <w:rPr>
          <w:color w:val="000000"/>
          <w:szCs w:val="22"/>
        </w:rPr>
      </w:pPr>
    </w:p>
    <w:p w14:paraId="409BA3FF" w14:textId="77777777" w:rsidR="00473CD9" w:rsidRPr="00615BC7" w:rsidRDefault="00473CD9" w:rsidP="00473CD9">
      <w:pPr>
        <w:rPr>
          <w:i/>
          <w:color w:val="000000"/>
          <w:szCs w:val="22"/>
          <w:u w:val="single"/>
        </w:rPr>
      </w:pPr>
      <w:r w:rsidRPr="00615BC7">
        <w:rPr>
          <w:i/>
          <w:color w:val="000000"/>
          <w:szCs w:val="22"/>
          <w:u w:val="single"/>
        </w:rPr>
        <w:t>Academic Resources</w:t>
      </w:r>
    </w:p>
    <w:p w14:paraId="2DEF41A2"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26" w:history="1">
        <w:r w:rsidRPr="00615BC7">
          <w:rPr>
            <w:rStyle w:val="Hyperlink"/>
            <w:rFonts w:ascii="Cambria" w:hAnsi="Cambria"/>
            <w:color w:val="FF0000"/>
            <w:sz w:val="22"/>
            <w:szCs w:val="22"/>
          </w:rPr>
          <w:t>https://lss.at.ufl.edu/help.shtml</w:t>
        </w:r>
      </w:hyperlink>
      <w:r w:rsidRPr="00615BC7">
        <w:rPr>
          <w:rFonts w:ascii="Cambria" w:hAnsi="Cambria"/>
          <w:sz w:val="22"/>
          <w:szCs w:val="22"/>
        </w:rPr>
        <w:t>.</w:t>
      </w:r>
    </w:p>
    <w:p w14:paraId="4EB5AF14"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2B0A7A31"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Career Resource Center</w:t>
      </w:r>
      <w:r w:rsidRPr="00615BC7">
        <w:rPr>
          <w:rFonts w:ascii="Cambria" w:hAnsi="Cambria"/>
          <w:sz w:val="22"/>
          <w:szCs w:val="22"/>
        </w:rPr>
        <w:t xml:space="preserve">, Reitz Union, 392-1601.  </w:t>
      </w:r>
      <w:r w:rsidRPr="000059DB">
        <w:rPr>
          <w:rFonts w:ascii="Cambria" w:hAnsi="Cambria"/>
          <w:sz w:val="22"/>
          <w:szCs w:val="22"/>
        </w:rPr>
        <w:t>Career assistance and counseling</w:t>
      </w:r>
      <w:r>
        <w:rPr>
          <w:rFonts w:ascii="Cambria" w:hAnsi="Cambria"/>
          <w:sz w:val="22"/>
          <w:szCs w:val="22"/>
        </w:rPr>
        <w:t xml:space="preserve">; </w:t>
      </w:r>
      <w:hyperlink r:id="rId27" w:history="1">
        <w:r w:rsidRPr="00B96080">
          <w:rPr>
            <w:rStyle w:val="Hyperlink"/>
          </w:rPr>
          <w:t>https://career.ufl.edu</w:t>
        </w:r>
      </w:hyperlink>
      <w:r w:rsidRPr="000059DB">
        <w:rPr>
          <w:rFonts w:ascii="Cambria" w:hAnsi="Cambria"/>
          <w:sz w:val="22"/>
          <w:szCs w:val="22"/>
        </w:rPr>
        <w:t>.</w:t>
      </w:r>
    </w:p>
    <w:p w14:paraId="4BFE812B"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i/>
          <w:iCs/>
          <w:szCs w:val="22"/>
        </w:rPr>
      </w:pPr>
    </w:p>
    <w:p w14:paraId="7DAE2084"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Library Support</w:t>
      </w:r>
      <w:r w:rsidRPr="00615BC7">
        <w:rPr>
          <w:szCs w:val="22"/>
        </w:rPr>
        <w:t xml:space="preserve">, </w:t>
      </w:r>
      <w:hyperlink r:id="rId28" w:history="1">
        <w:r w:rsidRPr="00615BC7">
          <w:rPr>
            <w:rStyle w:val="Hyperlink"/>
            <w:color w:val="FF0000"/>
            <w:szCs w:val="22"/>
          </w:rPr>
          <w:t>http://cms.uflib.ufl.edu/ask</w:t>
        </w:r>
      </w:hyperlink>
      <w:r w:rsidRPr="00615BC7">
        <w:rPr>
          <w:szCs w:val="22"/>
        </w:rPr>
        <w:t>. Various ways to receive assistance with respect to using the libraries or finding resources.</w:t>
      </w:r>
    </w:p>
    <w:p w14:paraId="1C225640"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C53971C"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29" w:history="1">
        <w:r w:rsidRPr="00615BC7">
          <w:rPr>
            <w:rStyle w:val="Hyperlink"/>
            <w:rFonts w:ascii="Cambria" w:hAnsi="Cambria"/>
            <w:color w:val="FF0000"/>
            <w:sz w:val="22"/>
            <w:szCs w:val="22"/>
          </w:rPr>
          <w:t>https://teachingcenter.ufl.edu/</w:t>
        </w:r>
      </w:hyperlink>
      <w:r w:rsidRPr="00615BC7">
        <w:rPr>
          <w:rFonts w:ascii="Cambria" w:hAnsi="Cambria"/>
          <w:sz w:val="22"/>
          <w:szCs w:val="22"/>
        </w:rPr>
        <w:t>.</w:t>
      </w:r>
    </w:p>
    <w:p w14:paraId="5DD90069"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8F1A411"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 xml:space="preserve">Writing Studio, 302 </w:t>
      </w:r>
      <w:proofErr w:type="spellStart"/>
      <w:r w:rsidRPr="00615BC7">
        <w:rPr>
          <w:rFonts w:ascii="Cambria" w:hAnsi="Cambria"/>
          <w:b/>
          <w:iCs/>
          <w:sz w:val="22"/>
          <w:szCs w:val="22"/>
        </w:rPr>
        <w:t>Tigert</w:t>
      </w:r>
      <w:proofErr w:type="spellEnd"/>
      <w:r w:rsidRPr="00615BC7">
        <w:rPr>
          <w:rFonts w:ascii="Cambria" w:hAnsi="Cambria"/>
          <w:b/>
          <w:iCs/>
          <w:sz w:val="22"/>
          <w:szCs w:val="22"/>
        </w:rPr>
        <w:t xml:space="preserve">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30" w:history="1">
        <w:r w:rsidRPr="00615BC7">
          <w:rPr>
            <w:rStyle w:val="Hyperlink"/>
            <w:rFonts w:ascii="Cambria" w:hAnsi="Cambria"/>
            <w:color w:val="FF0000"/>
            <w:sz w:val="22"/>
            <w:szCs w:val="22"/>
          </w:rPr>
          <w:t>https://writing.ufl.edu/writing-studio/</w:t>
        </w:r>
      </w:hyperlink>
      <w:r w:rsidRPr="00615BC7">
        <w:rPr>
          <w:rFonts w:ascii="Cambria" w:hAnsi="Cambria"/>
          <w:sz w:val="22"/>
          <w:szCs w:val="22"/>
        </w:rPr>
        <w:t>.</w:t>
      </w:r>
    </w:p>
    <w:p w14:paraId="19301DE8" w14:textId="77777777" w:rsidR="00473CD9" w:rsidRPr="00615BC7"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5F81F2D" w14:textId="77777777" w:rsidR="00473CD9" w:rsidRPr="000059DB" w:rsidRDefault="00473CD9" w:rsidP="00473CD9">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1" w:history="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r:id="rId32" w:history="1">
        <w:r>
          <w:rPr>
            <w:rStyle w:val="Hyperlink"/>
            <w:rFonts w:ascii="Cambria" w:hAnsi="Cambria"/>
            <w:color w:val="FF0000"/>
            <w:sz w:val="22"/>
            <w:szCs w:val="22"/>
          </w:rPr>
          <w:t>https://care.dso.ufl.edu</w:t>
        </w:r>
      </w:hyperlink>
      <w:r>
        <w:rPr>
          <w:rFonts w:ascii="Cambria" w:hAnsi="Cambria"/>
          <w:color w:val="0000FF"/>
          <w:sz w:val="22"/>
          <w:szCs w:val="22"/>
        </w:rPr>
        <w:t>.</w:t>
      </w:r>
    </w:p>
    <w:p w14:paraId="7AD0EFA4" w14:textId="77777777" w:rsidR="00473CD9" w:rsidRPr="00615BC7" w:rsidRDefault="00473CD9" w:rsidP="00473CD9">
      <w:pPr>
        <w:pBdr>
          <w:top w:val="single" w:sz="4" w:space="1" w:color="auto"/>
          <w:left w:val="single" w:sz="4" w:space="4" w:color="auto"/>
          <w:bottom w:val="single" w:sz="4" w:space="1" w:color="auto"/>
          <w:right w:val="single" w:sz="4" w:space="4" w:color="auto"/>
        </w:pBdr>
        <w:ind w:left="360"/>
        <w:rPr>
          <w:b/>
          <w:iCs/>
          <w:szCs w:val="22"/>
        </w:rPr>
      </w:pPr>
    </w:p>
    <w:p w14:paraId="3C864ECE" w14:textId="77777777" w:rsidR="00473CD9" w:rsidRDefault="00473CD9" w:rsidP="00473CD9">
      <w:pPr>
        <w:pBdr>
          <w:top w:val="single" w:sz="4" w:space="1" w:color="auto"/>
          <w:left w:val="single" w:sz="4" w:space="4" w:color="auto"/>
          <w:bottom w:val="single" w:sz="4" w:space="1" w:color="auto"/>
          <w:right w:val="single" w:sz="4" w:space="4" w:color="auto"/>
        </w:pBdr>
        <w:ind w:left="360"/>
        <w:rPr>
          <w:szCs w:val="22"/>
        </w:rPr>
      </w:pPr>
      <w:r w:rsidRPr="00615BC7">
        <w:rPr>
          <w:b/>
          <w:iCs/>
          <w:szCs w:val="22"/>
        </w:rPr>
        <w:t>On-Line Students Complaints</w:t>
      </w:r>
      <w:r w:rsidRPr="00615BC7">
        <w:rPr>
          <w:i/>
          <w:iCs/>
          <w:szCs w:val="22"/>
        </w:rPr>
        <w:t xml:space="preserve">: </w:t>
      </w:r>
      <w:hyperlink r:id="rId33" w:history="1">
        <w:r w:rsidRPr="00615BC7">
          <w:rPr>
            <w:rStyle w:val="Hyperlink"/>
            <w:color w:val="FF0000"/>
            <w:szCs w:val="22"/>
          </w:rPr>
          <w:t>http://www.distance.ufl.edu/student-complaint-process</w:t>
        </w:r>
      </w:hyperlink>
      <w:r w:rsidRPr="00615BC7">
        <w:rPr>
          <w:szCs w:val="22"/>
        </w:rPr>
        <w:t>.</w:t>
      </w:r>
    </w:p>
    <w:p w14:paraId="078A01CB" w14:textId="77777777" w:rsidR="00473CD9" w:rsidRPr="00C95EC1" w:rsidRDefault="00473CD9" w:rsidP="00473CD9">
      <w:pPr>
        <w:pBdr>
          <w:top w:val="single" w:sz="4" w:space="1" w:color="auto"/>
          <w:left w:val="single" w:sz="4" w:space="4" w:color="auto"/>
          <w:bottom w:val="single" w:sz="4" w:space="1" w:color="auto"/>
          <w:right w:val="single" w:sz="4" w:space="4" w:color="auto"/>
        </w:pBdr>
        <w:ind w:left="360"/>
        <w:rPr>
          <w:szCs w:val="22"/>
        </w:rPr>
      </w:pPr>
    </w:p>
    <w:p w14:paraId="3F1741F4" w14:textId="77777777" w:rsidR="00955689" w:rsidRPr="00B03B37" w:rsidRDefault="00955689" w:rsidP="00955689">
      <w:pPr>
        <w:rPr>
          <w:szCs w:val="22"/>
        </w:rPr>
      </w:pPr>
    </w:p>
    <w:sectPr w:rsidR="00955689" w:rsidRPr="00B03B37" w:rsidSect="004547C4">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F1744" w14:textId="77777777" w:rsidR="00B23868" w:rsidRDefault="00B23868" w:rsidP="00BE1628">
      <w:r>
        <w:separator/>
      </w:r>
    </w:p>
  </w:endnote>
  <w:endnote w:type="continuationSeparator" w:id="0">
    <w:p w14:paraId="1BA5AB16" w14:textId="77777777" w:rsidR="00B23868" w:rsidRDefault="00B23868"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39EDC158" w:rsidR="002A1C5C" w:rsidRPr="00BA6E7F" w:rsidRDefault="00BF20BF">
    <w:pPr>
      <w:pStyle w:val="Footer"/>
      <w:rPr>
        <w:b/>
        <w:i/>
        <w:noProof/>
        <w:color w:val="0070C0"/>
        <w:sz w:val="20"/>
      </w:rPr>
    </w:pPr>
    <w:r>
      <w:rPr>
        <w:b/>
        <w:i/>
        <w:color w:val="0070C0"/>
        <w:sz w:val="20"/>
      </w:rPr>
      <w:t>Biomaterials for Drug Delivery</w:t>
    </w:r>
    <w:r w:rsidR="002A1C5C" w:rsidRPr="00BA6E7F">
      <w:rPr>
        <w:b/>
        <w:i/>
        <w:color w:val="0070C0"/>
        <w:sz w:val="20"/>
      </w:rPr>
      <w:t xml:space="preserve">, </w:t>
    </w:r>
    <w:r>
      <w:rPr>
        <w:b/>
        <w:i/>
        <w:color w:val="0070C0"/>
        <w:sz w:val="20"/>
      </w:rPr>
      <w:t xml:space="preserve">BME </w:t>
    </w:r>
    <w:r w:rsidR="00BA2433">
      <w:rPr>
        <w:b/>
        <w:i/>
        <w:color w:val="0070C0"/>
        <w:sz w:val="20"/>
      </w:rPr>
      <w:t>4648</w:t>
    </w:r>
    <w:r w:rsidR="002A1C5C" w:rsidRPr="00BA6E7F">
      <w:rPr>
        <w:b/>
        <w:i/>
        <w:color w:val="0070C0"/>
        <w:sz w:val="20"/>
      </w:rPr>
      <w:tab/>
    </w:r>
    <w:r w:rsidR="002A1C5C" w:rsidRPr="00BA6E7F">
      <w:rPr>
        <w:b/>
        <w:i/>
        <w:color w:val="0070C0"/>
        <w:sz w:val="20"/>
      </w:rPr>
      <w:tab/>
      <w:t xml:space="preserve">Page </w:t>
    </w:r>
    <w:r w:rsidR="002A1C5C" w:rsidRPr="00BA6E7F">
      <w:rPr>
        <w:b/>
        <w:i/>
        <w:color w:val="0070C0"/>
        <w:sz w:val="20"/>
      </w:rPr>
      <w:fldChar w:fldCharType="begin"/>
    </w:r>
    <w:r w:rsidR="002A1C5C" w:rsidRPr="00BA6E7F">
      <w:rPr>
        <w:b/>
        <w:i/>
        <w:color w:val="0070C0"/>
        <w:sz w:val="20"/>
      </w:rPr>
      <w:instrText xml:space="preserve"> PAGE   \* MERGEFORMAT </w:instrText>
    </w:r>
    <w:r w:rsidR="002A1C5C" w:rsidRPr="00BA6E7F">
      <w:rPr>
        <w:b/>
        <w:i/>
        <w:color w:val="0070C0"/>
        <w:sz w:val="20"/>
      </w:rPr>
      <w:fldChar w:fldCharType="separate"/>
    </w:r>
    <w:r w:rsidR="005E29DD">
      <w:rPr>
        <w:b/>
        <w:i/>
        <w:noProof/>
        <w:color w:val="0070C0"/>
        <w:sz w:val="20"/>
      </w:rPr>
      <w:t>1</w:t>
    </w:r>
    <w:r w:rsidR="002A1C5C" w:rsidRPr="00BA6E7F">
      <w:rPr>
        <w:b/>
        <w:i/>
        <w:noProof/>
        <w:color w:val="0070C0"/>
        <w:sz w:val="20"/>
      </w:rPr>
      <w:fldChar w:fldCharType="end"/>
    </w:r>
  </w:p>
  <w:p w14:paraId="362A0C01" w14:textId="232D2A3A" w:rsidR="002A1C5C" w:rsidRPr="00BA6E7F" w:rsidRDefault="00BA2433">
    <w:pPr>
      <w:pStyle w:val="Footer"/>
      <w:rPr>
        <w:b/>
        <w:i/>
        <w:color w:val="0070C0"/>
        <w:sz w:val="20"/>
      </w:rPr>
    </w:pPr>
    <w:r>
      <w:rPr>
        <w:b/>
        <w:i/>
        <w:noProof/>
        <w:color w:val="0070C0"/>
        <w:sz w:val="20"/>
      </w:rPr>
      <w:t xml:space="preserve">Blanka Sharma, Ph.D., </w:t>
    </w:r>
    <w:r w:rsidR="003E6140">
      <w:rPr>
        <w:b/>
        <w:i/>
        <w:noProof/>
        <w:color w:val="0070C0"/>
        <w:sz w:val="20"/>
      </w:rPr>
      <w:t>Spring</w:t>
    </w:r>
    <w:r>
      <w:rPr>
        <w:b/>
        <w:i/>
        <w:noProof/>
        <w:color w:val="0070C0"/>
        <w:sz w:val="20"/>
      </w:rPr>
      <w:t xml:space="preserve"> 202</w:t>
    </w:r>
    <w:r w:rsidR="008C386B">
      <w:rPr>
        <w:b/>
        <w:i/>
        <w:noProof/>
        <w:color w:val="0070C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7683" w14:textId="77777777" w:rsidR="00B23868" w:rsidRDefault="00B23868" w:rsidP="00BE1628">
      <w:r>
        <w:separator/>
      </w:r>
    </w:p>
  </w:footnote>
  <w:footnote w:type="continuationSeparator" w:id="0">
    <w:p w14:paraId="68F79943" w14:textId="77777777" w:rsidR="00B23868" w:rsidRDefault="00B23868"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5"/>
  </w:num>
  <w:num w:numId="4">
    <w:abstractNumId w:val="12"/>
  </w:num>
  <w:num w:numId="5">
    <w:abstractNumId w:val="8"/>
  </w:num>
  <w:num w:numId="6">
    <w:abstractNumId w:val="11"/>
  </w:num>
  <w:num w:numId="7">
    <w:abstractNumId w:val="10"/>
  </w:num>
  <w:num w:numId="8">
    <w:abstractNumId w:val="1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7"/>
  </w:num>
  <w:num w:numId="14">
    <w:abstractNumId w:val="4"/>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5F7B"/>
    <w:rsid w:val="00015FB0"/>
    <w:rsid w:val="00073E28"/>
    <w:rsid w:val="000E47C0"/>
    <w:rsid w:val="00103F43"/>
    <w:rsid w:val="001307DB"/>
    <w:rsid w:val="00145F2B"/>
    <w:rsid w:val="001512E8"/>
    <w:rsid w:val="00154552"/>
    <w:rsid w:val="00180A7A"/>
    <w:rsid w:val="00187AD5"/>
    <w:rsid w:val="001B26B3"/>
    <w:rsid w:val="001C18FE"/>
    <w:rsid w:val="0027113B"/>
    <w:rsid w:val="002724E7"/>
    <w:rsid w:val="002A1C5C"/>
    <w:rsid w:val="00330ED0"/>
    <w:rsid w:val="00353E77"/>
    <w:rsid w:val="00377DFD"/>
    <w:rsid w:val="003C673D"/>
    <w:rsid w:val="003E6140"/>
    <w:rsid w:val="003F0229"/>
    <w:rsid w:val="003F7AE1"/>
    <w:rsid w:val="00402DE7"/>
    <w:rsid w:val="0042747A"/>
    <w:rsid w:val="004468A9"/>
    <w:rsid w:val="00454470"/>
    <w:rsid w:val="004547C4"/>
    <w:rsid w:val="00471291"/>
    <w:rsid w:val="00473CD9"/>
    <w:rsid w:val="00475531"/>
    <w:rsid w:val="004812A7"/>
    <w:rsid w:val="00486F4A"/>
    <w:rsid w:val="004D0AEF"/>
    <w:rsid w:val="004E4D45"/>
    <w:rsid w:val="004F04F2"/>
    <w:rsid w:val="00516A24"/>
    <w:rsid w:val="005E29DD"/>
    <w:rsid w:val="005E2F90"/>
    <w:rsid w:val="005E6E52"/>
    <w:rsid w:val="00605BC7"/>
    <w:rsid w:val="00606E74"/>
    <w:rsid w:val="006121DE"/>
    <w:rsid w:val="00636C77"/>
    <w:rsid w:val="006371D1"/>
    <w:rsid w:val="00640AF7"/>
    <w:rsid w:val="00661E7B"/>
    <w:rsid w:val="006B45F3"/>
    <w:rsid w:val="006B78E2"/>
    <w:rsid w:val="006D3E0B"/>
    <w:rsid w:val="006D421B"/>
    <w:rsid w:val="006E7FC7"/>
    <w:rsid w:val="00700F97"/>
    <w:rsid w:val="00716A94"/>
    <w:rsid w:val="00736BEC"/>
    <w:rsid w:val="007539EC"/>
    <w:rsid w:val="00753A75"/>
    <w:rsid w:val="007543D6"/>
    <w:rsid w:val="007636D8"/>
    <w:rsid w:val="007A3FA2"/>
    <w:rsid w:val="007D4B6B"/>
    <w:rsid w:val="007F4179"/>
    <w:rsid w:val="007F64CD"/>
    <w:rsid w:val="008015F9"/>
    <w:rsid w:val="008038C9"/>
    <w:rsid w:val="00820834"/>
    <w:rsid w:val="008C386B"/>
    <w:rsid w:val="008C7A17"/>
    <w:rsid w:val="00930D4A"/>
    <w:rsid w:val="00937A1C"/>
    <w:rsid w:val="009519E4"/>
    <w:rsid w:val="00955689"/>
    <w:rsid w:val="00970FF2"/>
    <w:rsid w:val="0097114A"/>
    <w:rsid w:val="0098386C"/>
    <w:rsid w:val="009945F2"/>
    <w:rsid w:val="009A0F7D"/>
    <w:rsid w:val="009A3370"/>
    <w:rsid w:val="009B0AE8"/>
    <w:rsid w:val="009F65D4"/>
    <w:rsid w:val="00A00888"/>
    <w:rsid w:val="00A34B9C"/>
    <w:rsid w:val="00A5434F"/>
    <w:rsid w:val="00AB22AF"/>
    <w:rsid w:val="00AB63EB"/>
    <w:rsid w:val="00AD1FC2"/>
    <w:rsid w:val="00AF4639"/>
    <w:rsid w:val="00AF6833"/>
    <w:rsid w:val="00B032C4"/>
    <w:rsid w:val="00B03B37"/>
    <w:rsid w:val="00B15595"/>
    <w:rsid w:val="00B21B8A"/>
    <w:rsid w:val="00B23868"/>
    <w:rsid w:val="00B52D6C"/>
    <w:rsid w:val="00B62E63"/>
    <w:rsid w:val="00B630FD"/>
    <w:rsid w:val="00B81811"/>
    <w:rsid w:val="00BA2433"/>
    <w:rsid w:val="00BA6E7F"/>
    <w:rsid w:val="00BC3B05"/>
    <w:rsid w:val="00BD2088"/>
    <w:rsid w:val="00BD5E98"/>
    <w:rsid w:val="00BE1628"/>
    <w:rsid w:val="00BE2C7E"/>
    <w:rsid w:val="00BF20BF"/>
    <w:rsid w:val="00C009AB"/>
    <w:rsid w:val="00C155FC"/>
    <w:rsid w:val="00C16439"/>
    <w:rsid w:val="00C21ACF"/>
    <w:rsid w:val="00C22383"/>
    <w:rsid w:val="00C252CA"/>
    <w:rsid w:val="00C32E6E"/>
    <w:rsid w:val="00C7721C"/>
    <w:rsid w:val="00C95EC1"/>
    <w:rsid w:val="00CA04E0"/>
    <w:rsid w:val="00D049ED"/>
    <w:rsid w:val="00D2072E"/>
    <w:rsid w:val="00D213EF"/>
    <w:rsid w:val="00D2542F"/>
    <w:rsid w:val="00D66BC1"/>
    <w:rsid w:val="00D82A52"/>
    <w:rsid w:val="00D93483"/>
    <w:rsid w:val="00D938D3"/>
    <w:rsid w:val="00D9525E"/>
    <w:rsid w:val="00DD0E35"/>
    <w:rsid w:val="00DD2C1D"/>
    <w:rsid w:val="00DD2EC6"/>
    <w:rsid w:val="00DD5BCC"/>
    <w:rsid w:val="00DD77E0"/>
    <w:rsid w:val="00DE1C50"/>
    <w:rsid w:val="00DF3AD0"/>
    <w:rsid w:val="00E04165"/>
    <w:rsid w:val="00E049FD"/>
    <w:rsid w:val="00E13F4A"/>
    <w:rsid w:val="00E2399C"/>
    <w:rsid w:val="00E26DF0"/>
    <w:rsid w:val="00E50F99"/>
    <w:rsid w:val="00E55913"/>
    <w:rsid w:val="00E857DD"/>
    <w:rsid w:val="00E91D31"/>
    <w:rsid w:val="00ED2089"/>
    <w:rsid w:val="00EF206B"/>
    <w:rsid w:val="00EF7FE6"/>
    <w:rsid w:val="00F05405"/>
    <w:rsid w:val="00F30C67"/>
    <w:rsid w:val="00F433D1"/>
    <w:rsid w:val="00F71607"/>
    <w:rsid w:val="00F85E17"/>
    <w:rsid w:val="00FB6F04"/>
    <w:rsid w:val="00FC1957"/>
    <w:rsid w:val="00FE6428"/>
    <w:rsid w:val="00FE6721"/>
    <w:rsid w:val="00FF1A6C"/>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0A220"/>
  <w15:docId w15:val="{43AE1A37-5245-45E7-80A6-87F445C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styleId="Strong">
    <w:name w:val="Strong"/>
    <w:basedOn w:val="DefaultParagraphFont"/>
    <w:qFormat/>
    <w:rsid w:val="00605BC7"/>
    <w:rPr>
      <w:b/>
      <w:bCs/>
    </w:rPr>
  </w:style>
  <w:style w:type="character" w:customStyle="1" w:styleId="apple-converted-space">
    <w:name w:val="apple-converted-space"/>
    <w:basedOn w:val="DefaultParagraphFont"/>
    <w:rsid w:val="009F65D4"/>
  </w:style>
  <w:style w:type="paragraph" w:styleId="NormalWeb">
    <w:name w:val="Normal (Web)"/>
    <w:basedOn w:val="Normal"/>
    <w:uiPriority w:val="99"/>
    <w:unhideWhenUsed/>
    <w:rsid w:val="00473CD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5893">
      <w:bodyDiv w:val="1"/>
      <w:marLeft w:val="0"/>
      <w:marRight w:val="0"/>
      <w:marTop w:val="0"/>
      <w:marBottom w:val="0"/>
      <w:divBdr>
        <w:top w:val="none" w:sz="0" w:space="0" w:color="auto"/>
        <w:left w:val="none" w:sz="0" w:space="0" w:color="auto"/>
        <w:bottom w:val="none" w:sz="0" w:space="0" w:color="auto"/>
        <w:right w:val="none" w:sz="0" w:space="0" w:color="auto"/>
      </w:divBdr>
    </w:div>
    <w:div w:id="249123067">
      <w:bodyDiv w:val="1"/>
      <w:marLeft w:val="0"/>
      <w:marRight w:val="0"/>
      <w:marTop w:val="0"/>
      <w:marBottom w:val="0"/>
      <w:divBdr>
        <w:top w:val="none" w:sz="0" w:space="0" w:color="auto"/>
        <w:left w:val="none" w:sz="0" w:space="0" w:color="auto"/>
        <w:bottom w:val="none" w:sz="0" w:space="0" w:color="auto"/>
        <w:right w:val="none" w:sz="0" w:space="0" w:color="auto"/>
      </w:divBdr>
    </w:div>
    <w:div w:id="312221745">
      <w:bodyDiv w:val="1"/>
      <w:marLeft w:val="0"/>
      <w:marRight w:val="0"/>
      <w:marTop w:val="0"/>
      <w:marBottom w:val="0"/>
      <w:divBdr>
        <w:top w:val="none" w:sz="0" w:space="0" w:color="auto"/>
        <w:left w:val="none" w:sz="0" w:space="0" w:color="auto"/>
        <w:bottom w:val="none" w:sz="0" w:space="0" w:color="auto"/>
        <w:right w:val="none" w:sz="0" w:space="0" w:color="auto"/>
      </w:divBdr>
    </w:div>
    <w:div w:id="317923050">
      <w:bodyDiv w:val="1"/>
      <w:marLeft w:val="0"/>
      <w:marRight w:val="0"/>
      <w:marTop w:val="0"/>
      <w:marBottom w:val="0"/>
      <w:divBdr>
        <w:top w:val="none" w:sz="0" w:space="0" w:color="auto"/>
        <w:left w:val="none" w:sz="0" w:space="0" w:color="auto"/>
        <w:bottom w:val="none" w:sz="0" w:space="0" w:color="auto"/>
        <w:right w:val="none" w:sz="0" w:space="0" w:color="auto"/>
      </w:divBdr>
      <w:divsChild>
        <w:div w:id="1693723350">
          <w:marLeft w:val="0"/>
          <w:marRight w:val="0"/>
          <w:marTop w:val="0"/>
          <w:marBottom w:val="0"/>
          <w:divBdr>
            <w:top w:val="none" w:sz="0" w:space="0" w:color="auto"/>
            <w:left w:val="none" w:sz="0" w:space="0" w:color="auto"/>
            <w:bottom w:val="none" w:sz="0" w:space="0" w:color="auto"/>
            <w:right w:val="none" w:sz="0" w:space="0" w:color="auto"/>
          </w:divBdr>
        </w:div>
        <w:div w:id="1831751700">
          <w:marLeft w:val="0"/>
          <w:marRight w:val="0"/>
          <w:marTop w:val="0"/>
          <w:marBottom w:val="0"/>
          <w:divBdr>
            <w:top w:val="none" w:sz="0" w:space="0" w:color="auto"/>
            <w:left w:val="none" w:sz="0" w:space="0" w:color="auto"/>
            <w:bottom w:val="none" w:sz="0" w:space="0" w:color="auto"/>
            <w:right w:val="none" w:sz="0" w:space="0" w:color="auto"/>
          </w:divBdr>
        </w:div>
        <w:div w:id="1006057709">
          <w:marLeft w:val="0"/>
          <w:marRight w:val="0"/>
          <w:marTop w:val="0"/>
          <w:marBottom w:val="0"/>
          <w:divBdr>
            <w:top w:val="none" w:sz="0" w:space="0" w:color="auto"/>
            <w:left w:val="none" w:sz="0" w:space="0" w:color="auto"/>
            <w:bottom w:val="none" w:sz="0" w:space="0" w:color="auto"/>
            <w:right w:val="none" w:sz="0" w:space="0" w:color="auto"/>
          </w:divBdr>
        </w:div>
        <w:div w:id="1757554209">
          <w:marLeft w:val="0"/>
          <w:marRight w:val="0"/>
          <w:marTop w:val="0"/>
          <w:marBottom w:val="0"/>
          <w:divBdr>
            <w:top w:val="none" w:sz="0" w:space="0" w:color="auto"/>
            <w:left w:val="none" w:sz="0" w:space="0" w:color="auto"/>
            <w:bottom w:val="none" w:sz="0" w:space="0" w:color="auto"/>
            <w:right w:val="none" w:sz="0" w:space="0" w:color="auto"/>
          </w:divBdr>
        </w:div>
        <w:div w:id="1361904561">
          <w:marLeft w:val="0"/>
          <w:marRight w:val="0"/>
          <w:marTop w:val="0"/>
          <w:marBottom w:val="0"/>
          <w:divBdr>
            <w:top w:val="none" w:sz="0" w:space="0" w:color="auto"/>
            <w:left w:val="none" w:sz="0" w:space="0" w:color="auto"/>
            <w:bottom w:val="none" w:sz="0" w:space="0" w:color="auto"/>
            <w:right w:val="none" w:sz="0" w:space="0" w:color="auto"/>
          </w:divBdr>
        </w:div>
        <w:div w:id="619384201">
          <w:marLeft w:val="0"/>
          <w:marRight w:val="0"/>
          <w:marTop w:val="0"/>
          <w:marBottom w:val="0"/>
          <w:divBdr>
            <w:top w:val="none" w:sz="0" w:space="0" w:color="auto"/>
            <w:left w:val="none" w:sz="0" w:space="0" w:color="auto"/>
            <w:bottom w:val="none" w:sz="0" w:space="0" w:color="auto"/>
            <w:right w:val="none" w:sz="0" w:space="0" w:color="auto"/>
          </w:divBdr>
        </w:div>
        <w:div w:id="1495296613">
          <w:marLeft w:val="0"/>
          <w:marRight w:val="0"/>
          <w:marTop w:val="0"/>
          <w:marBottom w:val="0"/>
          <w:divBdr>
            <w:top w:val="none" w:sz="0" w:space="0" w:color="auto"/>
            <w:left w:val="none" w:sz="0" w:space="0" w:color="auto"/>
            <w:bottom w:val="none" w:sz="0" w:space="0" w:color="auto"/>
            <w:right w:val="none" w:sz="0" w:space="0" w:color="auto"/>
          </w:divBdr>
        </w:div>
        <w:div w:id="1357468055">
          <w:marLeft w:val="0"/>
          <w:marRight w:val="0"/>
          <w:marTop w:val="0"/>
          <w:marBottom w:val="0"/>
          <w:divBdr>
            <w:top w:val="none" w:sz="0" w:space="0" w:color="auto"/>
            <w:left w:val="none" w:sz="0" w:space="0" w:color="auto"/>
            <w:bottom w:val="none" w:sz="0" w:space="0" w:color="auto"/>
            <w:right w:val="none" w:sz="0" w:space="0" w:color="auto"/>
          </w:divBdr>
        </w:div>
        <w:div w:id="634020450">
          <w:marLeft w:val="0"/>
          <w:marRight w:val="0"/>
          <w:marTop w:val="0"/>
          <w:marBottom w:val="0"/>
          <w:divBdr>
            <w:top w:val="none" w:sz="0" w:space="0" w:color="auto"/>
            <w:left w:val="none" w:sz="0" w:space="0" w:color="auto"/>
            <w:bottom w:val="none" w:sz="0" w:space="0" w:color="auto"/>
            <w:right w:val="none" w:sz="0" w:space="0" w:color="auto"/>
          </w:divBdr>
        </w:div>
        <w:div w:id="2135559268">
          <w:marLeft w:val="0"/>
          <w:marRight w:val="0"/>
          <w:marTop w:val="0"/>
          <w:marBottom w:val="0"/>
          <w:divBdr>
            <w:top w:val="none" w:sz="0" w:space="0" w:color="auto"/>
            <w:left w:val="none" w:sz="0" w:space="0" w:color="auto"/>
            <w:bottom w:val="none" w:sz="0" w:space="0" w:color="auto"/>
            <w:right w:val="none" w:sz="0" w:space="0" w:color="auto"/>
          </w:divBdr>
        </w:div>
        <w:div w:id="1810702191">
          <w:marLeft w:val="0"/>
          <w:marRight w:val="0"/>
          <w:marTop w:val="0"/>
          <w:marBottom w:val="0"/>
          <w:divBdr>
            <w:top w:val="none" w:sz="0" w:space="0" w:color="auto"/>
            <w:left w:val="none" w:sz="0" w:space="0" w:color="auto"/>
            <w:bottom w:val="none" w:sz="0" w:space="0" w:color="auto"/>
            <w:right w:val="none" w:sz="0" w:space="0" w:color="auto"/>
          </w:divBdr>
        </w:div>
        <w:div w:id="1712533653">
          <w:marLeft w:val="0"/>
          <w:marRight w:val="0"/>
          <w:marTop w:val="0"/>
          <w:marBottom w:val="0"/>
          <w:divBdr>
            <w:top w:val="none" w:sz="0" w:space="0" w:color="auto"/>
            <w:left w:val="none" w:sz="0" w:space="0" w:color="auto"/>
            <w:bottom w:val="none" w:sz="0" w:space="0" w:color="auto"/>
            <w:right w:val="none" w:sz="0" w:space="0" w:color="auto"/>
          </w:divBdr>
        </w:div>
        <w:div w:id="1687827557">
          <w:marLeft w:val="0"/>
          <w:marRight w:val="0"/>
          <w:marTop w:val="0"/>
          <w:marBottom w:val="0"/>
          <w:divBdr>
            <w:top w:val="none" w:sz="0" w:space="0" w:color="auto"/>
            <w:left w:val="none" w:sz="0" w:space="0" w:color="auto"/>
            <w:bottom w:val="none" w:sz="0" w:space="0" w:color="auto"/>
            <w:right w:val="none" w:sz="0" w:space="0" w:color="auto"/>
          </w:divBdr>
        </w:div>
        <w:div w:id="539631148">
          <w:marLeft w:val="0"/>
          <w:marRight w:val="0"/>
          <w:marTop w:val="0"/>
          <w:marBottom w:val="0"/>
          <w:divBdr>
            <w:top w:val="none" w:sz="0" w:space="0" w:color="auto"/>
            <w:left w:val="none" w:sz="0" w:space="0" w:color="auto"/>
            <w:bottom w:val="none" w:sz="0" w:space="0" w:color="auto"/>
            <w:right w:val="none" w:sz="0" w:space="0" w:color="auto"/>
          </w:divBdr>
        </w:div>
      </w:divsChild>
    </w:div>
    <w:div w:id="505024158">
      <w:bodyDiv w:val="1"/>
      <w:marLeft w:val="0"/>
      <w:marRight w:val="0"/>
      <w:marTop w:val="0"/>
      <w:marBottom w:val="0"/>
      <w:divBdr>
        <w:top w:val="none" w:sz="0" w:space="0" w:color="auto"/>
        <w:left w:val="none" w:sz="0" w:space="0" w:color="auto"/>
        <w:bottom w:val="none" w:sz="0" w:space="0" w:color="auto"/>
        <w:right w:val="none" w:sz="0" w:space="0" w:color="auto"/>
      </w:divBdr>
    </w:div>
    <w:div w:id="554662773">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379671658">
      <w:bodyDiv w:val="1"/>
      <w:marLeft w:val="0"/>
      <w:marRight w:val="0"/>
      <w:marTop w:val="0"/>
      <w:marBottom w:val="0"/>
      <w:divBdr>
        <w:top w:val="none" w:sz="0" w:space="0" w:color="auto"/>
        <w:left w:val="none" w:sz="0" w:space="0" w:color="auto"/>
        <w:bottom w:val="none" w:sz="0" w:space="0" w:color="auto"/>
        <w:right w:val="none" w:sz="0" w:space="0" w:color="auto"/>
      </w:divBdr>
    </w:div>
    <w:div w:id="1425032410">
      <w:bodyDiv w:val="1"/>
      <w:marLeft w:val="0"/>
      <w:marRight w:val="0"/>
      <w:marTop w:val="0"/>
      <w:marBottom w:val="0"/>
      <w:divBdr>
        <w:top w:val="none" w:sz="0" w:space="0" w:color="auto"/>
        <w:left w:val="none" w:sz="0" w:space="0" w:color="auto"/>
        <w:bottom w:val="none" w:sz="0" w:space="0" w:color="auto"/>
        <w:right w:val="none" w:sz="0" w:space="0" w:color="auto"/>
      </w:divBdr>
    </w:div>
    <w:div w:id="1732607579">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public-results/" TargetMode="External"/><Relationship Id="rId18" Type="http://schemas.openxmlformats.org/officeDocument/2006/relationships/hyperlink" Target="https://registrar.ufl.edu/ferpa.html" TargetMode="External"/><Relationship Id="rId26" Type="http://schemas.openxmlformats.org/officeDocument/2006/relationships/hyperlink" Target="https://lss.at.ufl.edu/help.shtml" TargetMode="External"/><Relationship Id="rId3" Type="http://schemas.openxmlformats.org/officeDocument/2006/relationships/styles" Target="styles.xml"/><Relationship Id="rId21" Type="http://schemas.openxmlformats.org/officeDocument/2006/relationships/hyperlink" Target="https://titleix.ufl.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mailto:nishida@eng.ufl.edu" TargetMode="External"/><Relationship Id="rId25" Type="http://schemas.openxmlformats.org/officeDocument/2006/relationships/hyperlink" Target="https://click.info.gator360.ufl.edu/?qs=8f0d5e01a3f7385148f144e2089093522a358a8d85cb9db73c31675d3c5e5c0d27748d40c212f544822551342f1912ea5b4f2b890d5952e8" TargetMode="External"/><Relationship Id="rId33" Type="http://schemas.openxmlformats.org/officeDocument/2006/relationships/hyperlink" Target="http://www.distance.ufl.edu/student-complaint-process" TargetMode="External"/><Relationship Id="rId2" Type="http://schemas.openxmlformats.org/officeDocument/2006/relationships/numbering" Target="numbering.xml"/><Relationship Id="rId16" Type="http://schemas.openxmlformats.org/officeDocument/2006/relationships/hyperlink" Target="mailto:taylor@eng.ufl.edu" TargetMode="External"/><Relationship Id="rId20" Type="http://schemas.openxmlformats.org/officeDocument/2006/relationships/hyperlink" Target="https://counseling.ufl.edu/" TargetMode="External"/><Relationship Id="rId29" Type="http://schemas.openxmlformats.org/officeDocument/2006/relationships/hyperlink" Target="https://teachingce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hyperlink" Target="mailto:covid@shcc.ufl.edu" TargetMode="External"/><Relationship Id="rId32" Type="http://schemas.openxmlformats.org/officeDocument/2006/relationships/hyperlink" Target="https://care.dso.ufl.edu/" TargetMode="External"/><Relationship Id="rId5" Type="http://schemas.openxmlformats.org/officeDocument/2006/relationships/webSettings" Target="webSettings.xml"/><Relationship Id="rId15" Type="http://schemas.openxmlformats.org/officeDocument/2006/relationships/hyperlink" Target="mailto:jpennacc@ufl.edu" TargetMode="External"/><Relationship Id="rId23" Type="http://schemas.openxmlformats.org/officeDocument/2006/relationships/hyperlink" Target="http://www.police.ufl.edu/" TargetMode="External"/><Relationship Id="rId28" Type="http://schemas.openxmlformats.org/officeDocument/2006/relationships/hyperlink" Target="http://cms.uflib.ufl.edu/ask" TargetMode="External"/><Relationship Id="rId36" Type="http://schemas.openxmlformats.org/officeDocument/2006/relationships/theme" Target="theme/theme1.xml"/><Relationship Id="rId10" Type="http://schemas.openxmlformats.org/officeDocument/2006/relationships/hyperlink" Target="https://disability.ufl.edu/students/get-started/" TargetMode="External"/><Relationship Id="rId19" Type="http://schemas.openxmlformats.org/officeDocument/2006/relationships/hyperlink" Target="mailto:umatter@ufl.edu"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mailto:title-ix@ufl.edu" TargetMode="External"/><Relationship Id="rId27" Type="http://schemas.openxmlformats.org/officeDocument/2006/relationships/hyperlink" Target="https://career.ufl.edu/" TargetMode="External"/><Relationship Id="rId30" Type="http://schemas.openxmlformats.org/officeDocument/2006/relationships/hyperlink" Target="https://writing.ufl.edu/writing-studio/" TargetMode="External"/><Relationship Id="rId35" Type="http://schemas.openxmlformats.org/officeDocument/2006/relationships/fontTable" Target="fontTable.xml"/><Relationship Id="rId8" Type="http://schemas.openxmlformats.org/officeDocument/2006/relationships/hyperlink" Target="https://catalog.ufl.edu/ugrad/current/regulations/info/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E866-3C3D-704E-854F-17334A5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18124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Sharma,Blanka</cp:lastModifiedBy>
  <cp:revision>6</cp:revision>
  <cp:lastPrinted>2013-06-14T18:40:00Z</cp:lastPrinted>
  <dcterms:created xsi:type="dcterms:W3CDTF">2021-12-21T16:21:00Z</dcterms:created>
  <dcterms:modified xsi:type="dcterms:W3CDTF">2021-12-22T21:33:00Z</dcterms:modified>
</cp:coreProperties>
</file>